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059AD" w14:textId="77777777" w:rsidR="003A2969" w:rsidRDefault="009F383E">
      <w:r>
        <w:t xml:space="preserve">Stellungnahme </w:t>
      </w:r>
      <w:r w:rsidR="00C650C5">
        <w:t>der AG Neue Therapien im Deutschen Netzwerk Gedächtnisambulanzen</w:t>
      </w:r>
    </w:p>
    <w:p w14:paraId="51CCFF83" w14:textId="77777777" w:rsidR="00C650C5" w:rsidRDefault="00C650C5"/>
    <w:p w14:paraId="4073313C" w14:textId="77777777" w:rsidR="00C650C5" w:rsidRPr="00667BEE" w:rsidRDefault="00C650C5" w:rsidP="00C650C5">
      <w:pPr>
        <w:pStyle w:val="StandardWeb"/>
        <w:rPr>
          <w:rFonts w:ascii="Calibri" w:hAnsi="Calibri" w:cs="Calibri"/>
          <w:color w:val="000000"/>
          <w:lang w:val="en-US"/>
        </w:rPr>
      </w:pPr>
      <w:r w:rsidRPr="00667BEE">
        <w:rPr>
          <w:rFonts w:ascii="Calibri" w:hAnsi="Calibri" w:cs="Calibri"/>
          <w:color w:val="000000"/>
          <w:lang w:val="en-US"/>
        </w:rPr>
        <w:t>What a great day for the patients in</w:t>
      </w:r>
      <w:r w:rsidR="004C2A11" w:rsidRPr="00667BEE">
        <w:rPr>
          <w:rFonts w:ascii="Calibri" w:hAnsi="Calibri" w:cs="Calibri"/>
          <w:color w:val="000000"/>
          <w:lang w:val="en-US"/>
        </w:rPr>
        <w:t xml:space="preserve"> the EU not to be left behind!! </w:t>
      </w:r>
    </w:p>
    <w:p w14:paraId="1E34B32D" w14:textId="77777777" w:rsidR="008A221A" w:rsidRPr="00667BEE" w:rsidRDefault="008A221A" w:rsidP="00C650C5">
      <w:pPr>
        <w:pStyle w:val="StandardWeb"/>
        <w:rPr>
          <w:rFonts w:ascii="Calibri" w:hAnsi="Calibri" w:cs="Calibri"/>
          <w:color w:val="000000"/>
          <w:lang w:val="en-US"/>
        </w:rPr>
      </w:pPr>
    </w:p>
    <w:p w14:paraId="66CA79CC" w14:textId="77777777" w:rsidR="009A3ED4" w:rsidRDefault="009F383E" w:rsidP="008A221A">
      <w:pPr>
        <w:rPr>
          <w:rFonts w:ascii="Calibri" w:hAnsi="Calibri" w:cs="Calibri"/>
          <w:sz w:val="24"/>
          <w:szCs w:val="24"/>
          <w:lang w:eastAsia="de-DE"/>
        </w:rPr>
      </w:pPr>
      <w:r>
        <w:rPr>
          <w:rFonts w:ascii="Calibri" w:hAnsi="Calibri" w:cs="Calibri"/>
          <w:sz w:val="24"/>
          <w:szCs w:val="24"/>
          <w:lang w:eastAsia="de-DE"/>
        </w:rPr>
        <w:t>Der Ausschuss für Humanarzneimittel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>
        <w:rPr>
          <w:rFonts w:ascii="Calibri" w:hAnsi="Calibri" w:cs="Calibri"/>
          <w:sz w:val="24"/>
          <w:szCs w:val="24"/>
          <w:lang w:eastAsia="de-DE"/>
        </w:rPr>
        <w:t>(</w:t>
      </w:r>
      <w:r w:rsidR="009A3ED4" w:rsidRPr="009A3ED4">
        <w:rPr>
          <w:rFonts w:ascii="Calibri" w:hAnsi="Calibri" w:cs="Calibri"/>
          <w:sz w:val="24"/>
          <w:szCs w:val="24"/>
          <w:lang w:eastAsia="de-DE"/>
        </w:rPr>
        <w:t xml:space="preserve">Committee </w:t>
      </w:r>
      <w:proofErr w:type="spellStart"/>
      <w:r w:rsidR="009A3ED4" w:rsidRPr="009A3ED4">
        <w:rPr>
          <w:rFonts w:ascii="Calibri" w:hAnsi="Calibri" w:cs="Calibri"/>
          <w:sz w:val="24"/>
          <w:szCs w:val="24"/>
          <w:lang w:eastAsia="de-DE"/>
        </w:rPr>
        <w:t>for</w:t>
      </w:r>
      <w:proofErr w:type="spellEnd"/>
      <w:r w:rsidR="009A3ED4" w:rsidRPr="009A3ED4">
        <w:rPr>
          <w:rFonts w:ascii="Calibri" w:hAnsi="Calibri" w:cs="Calibri"/>
          <w:sz w:val="24"/>
          <w:szCs w:val="24"/>
          <w:lang w:eastAsia="de-DE"/>
        </w:rPr>
        <w:t xml:space="preserve"> </w:t>
      </w:r>
      <w:proofErr w:type="spellStart"/>
      <w:r w:rsidR="009A3ED4" w:rsidRPr="009A3ED4">
        <w:rPr>
          <w:rFonts w:ascii="Calibri" w:hAnsi="Calibri" w:cs="Calibri"/>
          <w:sz w:val="24"/>
          <w:szCs w:val="24"/>
          <w:lang w:eastAsia="de-DE"/>
        </w:rPr>
        <w:t>Medicinal</w:t>
      </w:r>
      <w:proofErr w:type="spellEnd"/>
      <w:r w:rsidR="009A3ED4" w:rsidRPr="009A3ED4">
        <w:rPr>
          <w:rFonts w:ascii="Calibri" w:hAnsi="Calibri" w:cs="Calibri"/>
          <w:sz w:val="24"/>
          <w:szCs w:val="24"/>
          <w:lang w:eastAsia="de-DE"/>
        </w:rPr>
        <w:t xml:space="preserve"> Products </w:t>
      </w:r>
      <w:proofErr w:type="spellStart"/>
      <w:r w:rsidR="009A3ED4" w:rsidRPr="009A3ED4">
        <w:rPr>
          <w:rFonts w:ascii="Calibri" w:hAnsi="Calibri" w:cs="Calibri"/>
          <w:sz w:val="24"/>
          <w:szCs w:val="24"/>
          <w:lang w:eastAsia="de-DE"/>
        </w:rPr>
        <w:t>for</w:t>
      </w:r>
      <w:proofErr w:type="spellEnd"/>
      <w:r w:rsidR="009A3ED4" w:rsidRPr="009A3ED4">
        <w:rPr>
          <w:rFonts w:ascii="Calibri" w:hAnsi="Calibri" w:cs="Calibri"/>
          <w:sz w:val="24"/>
          <w:szCs w:val="24"/>
          <w:lang w:eastAsia="de-DE"/>
        </w:rPr>
        <w:t xml:space="preserve"> Human Use</w:t>
      </w:r>
      <w:r w:rsidR="009A3ED4">
        <w:rPr>
          <w:rFonts w:ascii="Calibri" w:hAnsi="Calibri" w:cs="Calibri"/>
          <w:sz w:val="24"/>
          <w:szCs w:val="24"/>
          <w:lang w:eastAsia="de-DE"/>
        </w:rPr>
        <w:t xml:space="preserve">,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>CHMP</w:t>
      </w:r>
      <w:r>
        <w:rPr>
          <w:rFonts w:ascii="Calibri" w:hAnsi="Calibri" w:cs="Calibri"/>
          <w:sz w:val="24"/>
          <w:szCs w:val="24"/>
          <w:lang w:eastAsia="de-DE"/>
        </w:rPr>
        <w:t>)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hat am 14.11.2024 </w:t>
      </w:r>
      <w:r>
        <w:rPr>
          <w:rFonts w:ascii="Calibri" w:hAnsi="Calibri" w:cs="Calibri"/>
          <w:sz w:val="24"/>
          <w:szCs w:val="24"/>
          <w:lang w:eastAsia="de-DE"/>
        </w:rPr>
        <w:t>nach erneuter Prüfung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der Datenlage</w:t>
      </w:r>
      <w:r w:rsidR="009A3ED4">
        <w:rPr>
          <w:rFonts w:ascii="Calibri" w:hAnsi="Calibri" w:cs="Calibri"/>
          <w:sz w:val="24"/>
          <w:szCs w:val="24"/>
          <w:lang w:eastAsia="de-DE"/>
        </w:rPr>
        <w:t xml:space="preserve">, die auf Antrag des Herstellers </w:t>
      </w:r>
      <w:proofErr w:type="spellStart"/>
      <w:r w:rsidR="009A3ED4">
        <w:rPr>
          <w:rFonts w:ascii="Calibri" w:hAnsi="Calibri" w:cs="Calibri"/>
          <w:sz w:val="24"/>
          <w:szCs w:val="24"/>
          <w:lang w:eastAsia="de-DE"/>
        </w:rPr>
        <w:t>Eisai</w:t>
      </w:r>
      <w:proofErr w:type="spellEnd"/>
      <w:r w:rsidR="009A3ED4">
        <w:rPr>
          <w:rFonts w:ascii="Calibri" w:hAnsi="Calibri" w:cs="Calibri"/>
          <w:sz w:val="24"/>
          <w:szCs w:val="24"/>
          <w:lang w:eastAsia="de-DE"/>
        </w:rPr>
        <w:t xml:space="preserve"> erfolgte,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eine Empfehlung für die Zulassung von </w:t>
      </w:r>
      <w:proofErr w:type="spellStart"/>
      <w:r w:rsidR="008A221A" w:rsidRPr="00667BEE">
        <w:rPr>
          <w:rFonts w:ascii="Calibri" w:hAnsi="Calibri" w:cs="Calibri"/>
          <w:sz w:val="24"/>
          <w:szCs w:val="24"/>
          <w:lang w:eastAsia="de-DE"/>
        </w:rPr>
        <w:t>Lecanemab</w:t>
      </w:r>
      <w:proofErr w:type="spellEnd"/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9D1855" w:rsidRPr="00667BEE">
        <w:rPr>
          <w:rFonts w:ascii="Calibri" w:hAnsi="Calibri" w:cs="Calibri"/>
          <w:sz w:val="24"/>
          <w:szCs w:val="24"/>
        </w:rPr>
        <w:t>zur Behandlung von Patient</w:t>
      </w:r>
      <w:r w:rsidR="00FE1D74">
        <w:rPr>
          <w:rFonts w:ascii="Calibri" w:hAnsi="Calibri" w:cs="Calibri"/>
          <w:sz w:val="24"/>
          <w:szCs w:val="24"/>
        </w:rPr>
        <w:t xml:space="preserve">en </w:t>
      </w:r>
      <w:r w:rsidR="009A3ED4">
        <w:rPr>
          <w:rFonts w:ascii="Calibri" w:hAnsi="Calibri" w:cs="Calibri"/>
          <w:sz w:val="24"/>
          <w:szCs w:val="24"/>
        </w:rPr>
        <w:t xml:space="preserve">in </w:t>
      </w:r>
      <w:r w:rsidR="009D1855" w:rsidRPr="00667BEE">
        <w:rPr>
          <w:rFonts w:ascii="Calibri" w:hAnsi="Calibri" w:cs="Calibri"/>
          <w:sz w:val="24"/>
          <w:szCs w:val="24"/>
        </w:rPr>
        <w:t xml:space="preserve">frühen </w:t>
      </w:r>
      <w:r w:rsidR="009A3ED4">
        <w:rPr>
          <w:rFonts w:ascii="Calibri" w:hAnsi="Calibri" w:cs="Calibri"/>
          <w:sz w:val="24"/>
          <w:szCs w:val="24"/>
        </w:rPr>
        <w:t xml:space="preserve">Stadien der </w:t>
      </w:r>
      <w:r w:rsidR="009D1855" w:rsidRPr="00667BEE">
        <w:rPr>
          <w:rFonts w:ascii="Calibri" w:hAnsi="Calibri" w:cs="Calibri"/>
          <w:sz w:val="24"/>
          <w:szCs w:val="24"/>
        </w:rPr>
        <w:t>Alzheimer-Krankheit</w:t>
      </w:r>
      <w:r w:rsidR="009D1855"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>ausgesprochen</w:t>
      </w:r>
      <w:r w:rsidR="0013720E">
        <w:rPr>
          <w:rFonts w:ascii="Calibri" w:hAnsi="Calibri" w:cs="Calibri"/>
          <w:sz w:val="24"/>
          <w:szCs w:val="24"/>
          <w:lang w:eastAsia="de-DE"/>
        </w:rPr>
        <w:t xml:space="preserve">. </w:t>
      </w:r>
      <w:proofErr w:type="spellStart"/>
      <w:r w:rsidR="009A3ED4">
        <w:rPr>
          <w:rFonts w:ascii="Calibri" w:hAnsi="Calibri" w:cs="Calibri"/>
          <w:sz w:val="24"/>
          <w:szCs w:val="24"/>
          <w:lang w:eastAsia="de-DE"/>
        </w:rPr>
        <w:t>Lecanemab</w:t>
      </w:r>
      <w:proofErr w:type="spellEnd"/>
      <w:r w:rsidR="009A3ED4">
        <w:rPr>
          <w:rFonts w:ascii="Calibri" w:hAnsi="Calibri" w:cs="Calibri"/>
          <w:sz w:val="24"/>
          <w:szCs w:val="24"/>
          <w:lang w:eastAsia="de-DE"/>
        </w:rPr>
        <w:t xml:space="preserve"> ist ein gegen Amyloid gerichteter passiver Antikörper der zweiwöchentlich intravenös gegeben werden muss und potentiell den Krankheitsverlauf maßgeblich </w:t>
      </w:r>
      <w:r w:rsidR="00871627">
        <w:rPr>
          <w:rFonts w:ascii="Calibri" w:hAnsi="Calibri" w:cs="Calibri"/>
          <w:sz w:val="24"/>
          <w:szCs w:val="24"/>
          <w:lang w:eastAsia="de-DE"/>
        </w:rPr>
        <w:t>verzögern</w:t>
      </w:r>
      <w:r w:rsidR="009A3ED4">
        <w:rPr>
          <w:rFonts w:ascii="Calibri" w:hAnsi="Calibri" w:cs="Calibri"/>
          <w:sz w:val="24"/>
          <w:szCs w:val="24"/>
          <w:lang w:eastAsia="de-DE"/>
        </w:rPr>
        <w:t xml:space="preserve"> kann. Die Behandlung muss um die Sicherheit der Patienten zu gewährleisten begleitet werden von regelmäßigen MRT-Untersuchungen, weil Nebenwirkungen in Form von Hirnschwellungen und Blutungen auftreten können. </w:t>
      </w:r>
    </w:p>
    <w:p w14:paraId="00AF66A6" w14:textId="697785EF" w:rsidR="009D1855" w:rsidRPr="00667BEE" w:rsidRDefault="0013720E" w:rsidP="008A221A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lang w:eastAsia="de-DE"/>
        </w:rPr>
        <w:t>Das CHMP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ist </w:t>
      </w:r>
      <w:r w:rsidR="009A3ED4">
        <w:rPr>
          <w:rFonts w:ascii="Calibri" w:hAnsi="Calibri" w:cs="Calibri"/>
          <w:sz w:val="24"/>
          <w:szCs w:val="24"/>
          <w:lang w:eastAsia="de-DE"/>
        </w:rPr>
        <w:t>somit</w:t>
      </w:r>
      <w:r w:rsidR="00FE1D74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der kürzlich </w:t>
      </w:r>
      <w:r>
        <w:rPr>
          <w:rFonts w:ascii="Calibri" w:hAnsi="Calibri" w:cs="Calibri"/>
          <w:sz w:val="24"/>
          <w:szCs w:val="24"/>
          <w:lang w:eastAsia="de-DE"/>
        </w:rPr>
        <w:t>erteilten</w:t>
      </w:r>
      <w:r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Zulassung </w:t>
      </w:r>
      <w:r>
        <w:rPr>
          <w:rFonts w:ascii="Calibri" w:hAnsi="Calibri" w:cs="Calibri"/>
          <w:sz w:val="24"/>
          <w:szCs w:val="24"/>
          <w:lang w:eastAsia="de-DE"/>
        </w:rPr>
        <w:t>in</w:t>
      </w:r>
      <w:r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>Großbritannien gefolgt</w:t>
      </w:r>
      <w:r>
        <w:rPr>
          <w:rFonts w:ascii="Calibri" w:hAnsi="Calibri" w:cs="Calibri"/>
          <w:sz w:val="24"/>
          <w:szCs w:val="24"/>
          <w:lang w:eastAsia="de-DE"/>
        </w:rPr>
        <w:t xml:space="preserve"> und hat gegenüber dem initialen Zulassungsantrag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homozygote </w:t>
      </w:r>
      <w:r>
        <w:rPr>
          <w:rFonts w:ascii="Calibri" w:hAnsi="Calibri" w:cs="Calibri"/>
          <w:sz w:val="24"/>
          <w:szCs w:val="24"/>
          <w:lang w:eastAsia="de-DE"/>
        </w:rPr>
        <w:t xml:space="preserve">Träger des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ApoE4 </w:t>
      </w:r>
      <w:r>
        <w:rPr>
          <w:rFonts w:ascii="Calibri" w:hAnsi="Calibri" w:cs="Calibri"/>
          <w:sz w:val="24"/>
          <w:szCs w:val="24"/>
          <w:lang w:eastAsia="de-DE"/>
        </w:rPr>
        <w:t>Gens und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 w:rsidR="009D1855" w:rsidRPr="00667BEE">
        <w:rPr>
          <w:rFonts w:ascii="Calibri" w:hAnsi="Calibri" w:cs="Calibri"/>
          <w:sz w:val="24"/>
          <w:szCs w:val="24"/>
          <w:lang w:eastAsia="de-DE"/>
        </w:rPr>
        <w:t xml:space="preserve">Patienten unter 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>Antikoagulation</w:t>
      </w:r>
      <w:r w:rsidR="00FE1D74">
        <w:rPr>
          <w:rFonts w:ascii="Calibri" w:hAnsi="Calibri" w:cs="Calibri"/>
          <w:sz w:val="24"/>
          <w:szCs w:val="24"/>
          <w:lang w:eastAsia="de-DE"/>
        </w:rPr>
        <w:t>,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</w:t>
      </w:r>
      <w:r>
        <w:rPr>
          <w:rFonts w:ascii="Calibri" w:hAnsi="Calibri" w:cs="Calibri"/>
          <w:sz w:val="24"/>
          <w:szCs w:val="24"/>
          <w:lang w:eastAsia="de-DE"/>
        </w:rPr>
        <w:t>auf Grund eines aus Sicht des Gremiums ungünstigen Verhältnis von Nutzen und Risiko</w:t>
      </w:r>
      <w:r w:rsidR="009A3ED4">
        <w:rPr>
          <w:rFonts w:ascii="Calibri" w:hAnsi="Calibri" w:cs="Calibri"/>
          <w:sz w:val="24"/>
          <w:szCs w:val="24"/>
          <w:lang w:eastAsia="de-DE"/>
        </w:rPr>
        <w:t xml:space="preserve"> von der Indikation</w:t>
      </w:r>
      <w:r w:rsidR="00FE1D74">
        <w:rPr>
          <w:rFonts w:ascii="Calibri" w:hAnsi="Calibri" w:cs="Calibri"/>
          <w:sz w:val="24"/>
          <w:szCs w:val="24"/>
          <w:lang w:eastAsia="de-DE"/>
        </w:rPr>
        <w:t>,</w:t>
      </w:r>
      <w:r w:rsidR="009A3ED4">
        <w:rPr>
          <w:rFonts w:ascii="Calibri" w:hAnsi="Calibri" w:cs="Calibri"/>
          <w:sz w:val="24"/>
          <w:szCs w:val="24"/>
          <w:lang w:eastAsia="de-DE"/>
        </w:rPr>
        <w:t xml:space="preserve"> ausgeschlossen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. Die Empfehlung </w:t>
      </w:r>
      <w:r w:rsidR="009A3ED4" w:rsidRPr="00667BEE">
        <w:rPr>
          <w:rFonts w:ascii="Calibri" w:hAnsi="Calibri" w:cs="Calibri"/>
          <w:sz w:val="24"/>
          <w:szCs w:val="24"/>
          <w:lang w:eastAsia="de-DE"/>
        </w:rPr>
        <w:t>muss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noch von der EMA</w:t>
      </w:r>
      <w:r w:rsidR="00731D6F">
        <w:rPr>
          <w:rFonts w:ascii="Calibri" w:hAnsi="Calibri" w:cs="Calibri"/>
          <w:sz w:val="24"/>
          <w:szCs w:val="24"/>
          <w:lang w:eastAsia="de-DE"/>
        </w:rPr>
        <w:t xml:space="preserve"> innerhalb der nächsten 67 Tage</w:t>
      </w:r>
      <w:r w:rsidR="008A221A" w:rsidRPr="00667BEE">
        <w:rPr>
          <w:rFonts w:ascii="Calibri" w:hAnsi="Calibri" w:cs="Calibri"/>
          <w:sz w:val="24"/>
          <w:szCs w:val="24"/>
          <w:lang w:eastAsia="de-DE"/>
        </w:rPr>
        <w:t xml:space="preserve"> in eine Zulassung überführt werden.</w:t>
      </w:r>
      <w:r w:rsidR="009D1855" w:rsidRPr="00667BEE">
        <w:rPr>
          <w:rFonts w:ascii="Calibri" w:hAnsi="Calibri" w:cs="Calibri"/>
          <w:sz w:val="24"/>
          <w:szCs w:val="24"/>
        </w:rPr>
        <w:t xml:space="preserve"> </w:t>
      </w:r>
    </w:p>
    <w:p w14:paraId="6401921E" w14:textId="30548BD4" w:rsidR="008A221A" w:rsidRPr="00667BEE" w:rsidRDefault="009D1855" w:rsidP="008A221A">
      <w:pPr>
        <w:rPr>
          <w:rFonts w:ascii="Calibri" w:hAnsi="Calibri" w:cs="Calibri"/>
          <w:sz w:val="24"/>
          <w:szCs w:val="24"/>
          <w:lang w:eastAsia="de-DE"/>
        </w:rPr>
      </w:pPr>
      <w:r w:rsidRPr="00667BEE">
        <w:rPr>
          <w:rFonts w:ascii="Calibri" w:hAnsi="Calibri" w:cs="Calibri"/>
          <w:sz w:val="24"/>
          <w:szCs w:val="24"/>
        </w:rPr>
        <w:t xml:space="preserve">Damit wird </w:t>
      </w:r>
      <w:r w:rsidR="00871627">
        <w:rPr>
          <w:rFonts w:ascii="Calibri" w:hAnsi="Calibri" w:cs="Calibri"/>
          <w:sz w:val="24"/>
          <w:szCs w:val="24"/>
        </w:rPr>
        <w:t>im kommenden Jahr</w:t>
      </w:r>
      <w:r w:rsidRPr="00667BEE">
        <w:rPr>
          <w:rFonts w:ascii="Calibri" w:hAnsi="Calibri" w:cs="Calibri"/>
          <w:sz w:val="24"/>
          <w:szCs w:val="24"/>
        </w:rPr>
        <w:t xml:space="preserve"> in Deutschland </w:t>
      </w:r>
      <w:r w:rsidR="00731D6F">
        <w:rPr>
          <w:rFonts w:ascii="Calibri" w:hAnsi="Calibri" w:cs="Calibri"/>
          <w:sz w:val="24"/>
          <w:szCs w:val="24"/>
        </w:rPr>
        <w:t xml:space="preserve">voraussichtlich </w:t>
      </w:r>
      <w:r w:rsidRPr="00667BEE">
        <w:rPr>
          <w:rFonts w:ascii="Calibri" w:hAnsi="Calibri" w:cs="Calibri"/>
          <w:sz w:val="24"/>
          <w:szCs w:val="24"/>
        </w:rPr>
        <w:t>ein</w:t>
      </w:r>
      <w:r w:rsidR="00FE1D74">
        <w:rPr>
          <w:rFonts w:ascii="Calibri" w:hAnsi="Calibri" w:cs="Calibri"/>
          <w:sz w:val="24"/>
          <w:szCs w:val="24"/>
        </w:rPr>
        <w:t>e</w:t>
      </w:r>
      <w:r w:rsidRPr="00667BEE">
        <w:rPr>
          <w:rFonts w:ascii="Calibri" w:hAnsi="Calibri" w:cs="Calibri"/>
          <w:sz w:val="24"/>
          <w:szCs w:val="24"/>
        </w:rPr>
        <w:t xml:space="preserve"> </w:t>
      </w:r>
      <w:r w:rsidR="00871627">
        <w:rPr>
          <w:rFonts w:ascii="Calibri" w:hAnsi="Calibri" w:cs="Calibri"/>
          <w:sz w:val="24"/>
          <w:szCs w:val="24"/>
        </w:rPr>
        <w:t xml:space="preserve">völlig neue </w:t>
      </w:r>
      <w:r w:rsidRPr="00667BEE">
        <w:rPr>
          <w:rFonts w:ascii="Calibri" w:hAnsi="Calibri" w:cs="Calibri"/>
          <w:sz w:val="24"/>
          <w:szCs w:val="24"/>
        </w:rPr>
        <w:t>Therapie</w:t>
      </w:r>
      <w:r w:rsidR="00871627">
        <w:rPr>
          <w:rFonts w:ascii="Calibri" w:hAnsi="Calibri" w:cs="Calibri"/>
          <w:sz w:val="24"/>
          <w:szCs w:val="24"/>
        </w:rPr>
        <w:t>möglichkeit</w:t>
      </w:r>
      <w:r w:rsidRPr="00667BEE">
        <w:rPr>
          <w:rFonts w:ascii="Calibri" w:hAnsi="Calibri" w:cs="Calibri"/>
          <w:sz w:val="24"/>
          <w:szCs w:val="24"/>
        </w:rPr>
        <w:t xml:space="preserve"> für Patienten in Frühstadien der Alzheimer-K</w:t>
      </w:r>
      <w:r w:rsidR="00FE1D74">
        <w:rPr>
          <w:rFonts w:ascii="Calibri" w:hAnsi="Calibri" w:cs="Calibri"/>
          <w:sz w:val="24"/>
          <w:szCs w:val="24"/>
        </w:rPr>
        <w:t>r</w:t>
      </w:r>
      <w:r w:rsidRPr="00667BEE">
        <w:rPr>
          <w:rFonts w:ascii="Calibri" w:hAnsi="Calibri" w:cs="Calibri"/>
          <w:sz w:val="24"/>
          <w:szCs w:val="24"/>
        </w:rPr>
        <w:t>ankheit verfügbar sein!</w:t>
      </w:r>
    </w:p>
    <w:p w14:paraId="2B4F825C" w14:textId="77777777" w:rsidR="008A221A" w:rsidRPr="00667BEE" w:rsidRDefault="009D1855" w:rsidP="00C650C5">
      <w:pPr>
        <w:pStyle w:val="StandardWeb"/>
        <w:rPr>
          <w:rFonts w:ascii="Calibri" w:hAnsi="Calibri" w:cs="Calibri"/>
        </w:rPr>
      </w:pPr>
      <w:r w:rsidRPr="00667BEE">
        <w:rPr>
          <w:rFonts w:ascii="Calibri" w:hAnsi="Calibri" w:cs="Calibri"/>
        </w:rPr>
        <w:t>Mehrere</w:t>
      </w:r>
      <w:r w:rsidR="008A221A" w:rsidRPr="00667BEE">
        <w:rPr>
          <w:rFonts w:ascii="Calibri" w:hAnsi="Calibri" w:cs="Calibri"/>
        </w:rPr>
        <w:t xml:space="preserve"> wichtige </w:t>
      </w:r>
      <w:r w:rsidRPr="00667BEE">
        <w:rPr>
          <w:rFonts w:ascii="Calibri" w:hAnsi="Calibri" w:cs="Calibri"/>
        </w:rPr>
        <w:t>Handlungs-</w:t>
      </w:r>
      <w:r w:rsidR="00FE1D74">
        <w:rPr>
          <w:rFonts w:ascii="Calibri" w:hAnsi="Calibri" w:cs="Calibri"/>
        </w:rPr>
        <w:t>Prämissen</w:t>
      </w:r>
      <w:r w:rsidR="00871627">
        <w:rPr>
          <w:rFonts w:ascii="Calibri" w:hAnsi="Calibri" w:cs="Calibri"/>
        </w:rPr>
        <w:t xml:space="preserve">, die sich teilweise aus </w:t>
      </w:r>
      <w:r w:rsidRPr="00667BEE">
        <w:rPr>
          <w:rFonts w:ascii="Calibri" w:hAnsi="Calibri" w:cs="Calibri"/>
        </w:rPr>
        <w:t>der Indikationsbeschränkung</w:t>
      </w:r>
      <w:r w:rsidR="00871627">
        <w:rPr>
          <w:rFonts w:ascii="Calibri" w:hAnsi="Calibri" w:cs="Calibri"/>
        </w:rPr>
        <w:t xml:space="preserve"> ergeben sind zu beachten</w:t>
      </w:r>
      <w:r w:rsidRPr="00667BEE">
        <w:rPr>
          <w:rFonts w:ascii="Calibri" w:hAnsi="Calibri" w:cs="Calibri"/>
        </w:rPr>
        <w:t>:</w:t>
      </w:r>
    </w:p>
    <w:p w14:paraId="2448D339" w14:textId="77777777" w:rsidR="009D1855" w:rsidRPr="00667BEE" w:rsidRDefault="009D1855" w:rsidP="008A221A">
      <w:pPr>
        <w:pStyle w:val="StandardWeb"/>
        <w:numPr>
          <w:ilvl w:val="0"/>
          <w:numId w:val="1"/>
        </w:numPr>
        <w:rPr>
          <w:rFonts w:ascii="Calibri" w:hAnsi="Calibri" w:cs="Calibri"/>
        </w:rPr>
      </w:pPr>
      <w:r w:rsidRPr="00667BEE">
        <w:rPr>
          <w:rFonts w:ascii="Calibri" w:hAnsi="Calibri" w:cs="Calibri"/>
        </w:rPr>
        <w:t xml:space="preserve">Bei allen Patienten muss eine pathologisch erhöhte Amyloid-Ablagerung im Gehirn nachgewiesen sein, durch eine Amyloid-PET Untersuchung oder durch den Nachweis </w:t>
      </w:r>
      <w:r w:rsidR="00871627">
        <w:rPr>
          <w:rFonts w:ascii="Calibri" w:hAnsi="Calibri" w:cs="Calibri"/>
        </w:rPr>
        <w:t xml:space="preserve">eines entsprechenden </w:t>
      </w:r>
      <w:r w:rsidRPr="00667BEE">
        <w:rPr>
          <w:rFonts w:ascii="Calibri" w:hAnsi="Calibri" w:cs="Calibri"/>
        </w:rPr>
        <w:t>Bio</w:t>
      </w:r>
      <w:r w:rsidR="00410CD7" w:rsidRPr="00667BEE">
        <w:rPr>
          <w:rFonts w:ascii="Calibri" w:hAnsi="Calibri" w:cs="Calibri"/>
        </w:rPr>
        <w:t>marker</w:t>
      </w:r>
      <w:r w:rsidR="00FE1D74">
        <w:rPr>
          <w:rFonts w:ascii="Calibri" w:hAnsi="Calibri" w:cs="Calibri"/>
        </w:rPr>
        <w:t>s</w:t>
      </w:r>
      <w:r w:rsidR="00410CD7" w:rsidRPr="00667BEE">
        <w:rPr>
          <w:rFonts w:ascii="Calibri" w:hAnsi="Calibri" w:cs="Calibri"/>
        </w:rPr>
        <w:t xml:space="preserve"> </w:t>
      </w:r>
      <w:r w:rsidR="00871627">
        <w:rPr>
          <w:rFonts w:ascii="Calibri" w:hAnsi="Calibri" w:cs="Calibri"/>
        </w:rPr>
        <w:t>in der Gehirnflüssigkeit</w:t>
      </w:r>
    </w:p>
    <w:p w14:paraId="18DBF658" w14:textId="77777777" w:rsidR="00410CD7" w:rsidRPr="00667BEE" w:rsidRDefault="00410CD7" w:rsidP="008A221A">
      <w:pPr>
        <w:pStyle w:val="StandardWeb"/>
        <w:numPr>
          <w:ilvl w:val="0"/>
          <w:numId w:val="1"/>
        </w:numPr>
        <w:rPr>
          <w:rFonts w:ascii="Calibri" w:hAnsi="Calibri" w:cs="Calibri"/>
        </w:rPr>
      </w:pPr>
      <w:r w:rsidRPr="00667BEE">
        <w:rPr>
          <w:rFonts w:ascii="Calibri" w:hAnsi="Calibri" w:cs="Calibri"/>
        </w:rPr>
        <w:t xml:space="preserve">Ein diagnostisches MRT-Protokoll ohne Kontrast mit typischen Sequenzen (T1, T2, FLAIR) mit </w:t>
      </w:r>
      <w:r w:rsidR="00871627">
        <w:rPr>
          <w:rFonts w:ascii="Calibri" w:hAnsi="Calibri" w:cs="Calibri"/>
        </w:rPr>
        <w:t>besonderem</w:t>
      </w:r>
      <w:r w:rsidRPr="00667BEE">
        <w:rPr>
          <w:rFonts w:ascii="Calibri" w:hAnsi="Calibri" w:cs="Calibri"/>
        </w:rPr>
        <w:t xml:space="preserve"> Fokus auf </w:t>
      </w:r>
      <w:r w:rsidR="00871627">
        <w:rPr>
          <w:rFonts w:ascii="Calibri" w:hAnsi="Calibri" w:cs="Calibri"/>
        </w:rPr>
        <w:t>vaskuläre Läsionen, somit ist die</w:t>
      </w:r>
      <w:r w:rsidRPr="00667BEE">
        <w:rPr>
          <w:rFonts w:ascii="Calibri" w:hAnsi="Calibri" w:cs="Calibri"/>
        </w:rPr>
        <w:t xml:space="preserve"> MRT-Tauglichkeit </w:t>
      </w:r>
      <w:r w:rsidR="00871627">
        <w:rPr>
          <w:rFonts w:ascii="Calibri" w:hAnsi="Calibri" w:cs="Calibri"/>
        </w:rPr>
        <w:t xml:space="preserve">der Patienten </w:t>
      </w:r>
      <w:r w:rsidRPr="00667BEE">
        <w:rPr>
          <w:rFonts w:ascii="Calibri" w:hAnsi="Calibri" w:cs="Calibri"/>
        </w:rPr>
        <w:t xml:space="preserve">ist eine notwendige Voraussetzung </w:t>
      </w:r>
    </w:p>
    <w:p w14:paraId="49865021" w14:textId="77777777" w:rsidR="008A221A" w:rsidRPr="00667BEE" w:rsidRDefault="00871627" w:rsidP="008A221A">
      <w:pPr>
        <w:pStyle w:val="StandardWeb"/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="008A221A" w:rsidRPr="00667BEE">
        <w:rPr>
          <w:rFonts w:ascii="Calibri" w:hAnsi="Calibri" w:cs="Calibri"/>
        </w:rPr>
        <w:t xml:space="preserve">ine </w:t>
      </w:r>
      <w:r>
        <w:rPr>
          <w:rFonts w:ascii="Calibri" w:hAnsi="Calibri" w:cs="Calibri"/>
        </w:rPr>
        <w:t>Bestimmung des</w:t>
      </w:r>
      <w:r w:rsidR="008A221A" w:rsidRPr="00667BEE">
        <w:rPr>
          <w:rFonts w:ascii="Calibri" w:hAnsi="Calibri" w:cs="Calibri"/>
        </w:rPr>
        <w:t xml:space="preserve"> APOE-Genotypus bei a</w:t>
      </w:r>
      <w:r w:rsidR="00410CD7" w:rsidRPr="00667BEE">
        <w:rPr>
          <w:rFonts w:ascii="Calibri" w:hAnsi="Calibri" w:cs="Calibri"/>
        </w:rPr>
        <w:t xml:space="preserve">llen </w:t>
      </w:r>
      <w:r>
        <w:rPr>
          <w:rFonts w:ascii="Calibri" w:hAnsi="Calibri" w:cs="Calibri"/>
        </w:rPr>
        <w:t>Patienten</w:t>
      </w:r>
    </w:p>
    <w:p w14:paraId="40BCEABD" w14:textId="27B38BB4" w:rsidR="008A221A" w:rsidRDefault="00871627" w:rsidP="008A221A">
      <w:pPr>
        <w:pStyle w:val="StandardWeb"/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Die Gewährleistung eines</w:t>
      </w:r>
      <w:r w:rsidR="008A221A" w:rsidRPr="00667BEE">
        <w:rPr>
          <w:rFonts w:ascii="Calibri" w:hAnsi="Calibri" w:cs="Calibri"/>
        </w:rPr>
        <w:t xml:space="preserve"> Therapie</w:t>
      </w:r>
      <w:r w:rsidR="00FE1D74">
        <w:rPr>
          <w:rFonts w:ascii="Calibri" w:hAnsi="Calibri" w:cs="Calibri"/>
        </w:rPr>
        <w:t>-M</w:t>
      </w:r>
      <w:r w:rsidR="008A221A" w:rsidRPr="00667BEE">
        <w:rPr>
          <w:rFonts w:ascii="Calibri" w:hAnsi="Calibri" w:cs="Calibri"/>
        </w:rPr>
        <w:t xml:space="preserve">onitoring </w:t>
      </w:r>
      <w:r>
        <w:rPr>
          <w:rFonts w:ascii="Calibri" w:hAnsi="Calibri" w:cs="Calibri"/>
        </w:rPr>
        <w:t>in Form von fortgesetz</w:t>
      </w:r>
      <w:r w:rsidR="00FE1D74">
        <w:rPr>
          <w:rFonts w:ascii="Calibri" w:hAnsi="Calibri" w:cs="Calibri"/>
        </w:rPr>
        <w:t>t</w:t>
      </w:r>
      <w:r>
        <w:rPr>
          <w:rFonts w:ascii="Calibri" w:hAnsi="Calibri" w:cs="Calibri"/>
        </w:rPr>
        <w:t xml:space="preserve">en MRT-Untersuchungen unter Therapie </w:t>
      </w:r>
      <w:r w:rsidR="00410CD7" w:rsidRPr="00667BEE">
        <w:rPr>
          <w:rFonts w:ascii="Calibri" w:hAnsi="Calibri" w:cs="Calibri"/>
        </w:rPr>
        <w:t>(4 MRT über 12 Monate)</w:t>
      </w:r>
      <w:r w:rsidR="00731D6F">
        <w:rPr>
          <w:rFonts w:ascii="Calibri" w:hAnsi="Calibri" w:cs="Calibri"/>
        </w:rPr>
        <w:t xml:space="preserve"> und der Expertise der Auswertung</w:t>
      </w:r>
    </w:p>
    <w:p w14:paraId="6B18BF8B" w14:textId="2D753496" w:rsidR="00731D6F" w:rsidRPr="00667BEE" w:rsidRDefault="00731D6F" w:rsidP="008A221A">
      <w:pPr>
        <w:pStyle w:val="StandardWeb"/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Patienten, die mit Antikoagulations-Medikamenten (</w:t>
      </w:r>
      <w:proofErr w:type="spellStart"/>
      <w:r>
        <w:rPr>
          <w:rFonts w:ascii="Calibri" w:hAnsi="Calibri" w:cs="Calibri"/>
        </w:rPr>
        <w:t>Macumar</w:t>
      </w:r>
      <w:proofErr w:type="spellEnd"/>
      <w:r>
        <w:rPr>
          <w:rFonts w:ascii="Calibri" w:hAnsi="Calibri" w:cs="Calibri"/>
        </w:rPr>
        <w:t xml:space="preserve">, Dabigatran, Rivaroxaban oder </w:t>
      </w:r>
      <w:proofErr w:type="spellStart"/>
      <w:r>
        <w:rPr>
          <w:rFonts w:ascii="Calibri" w:hAnsi="Calibri" w:cs="Calibri"/>
        </w:rPr>
        <w:t>Edoxaban</w:t>
      </w:r>
      <w:proofErr w:type="spellEnd"/>
      <w:r>
        <w:rPr>
          <w:rFonts w:ascii="Calibri" w:hAnsi="Calibri" w:cs="Calibri"/>
        </w:rPr>
        <w:t xml:space="preserve">) behandelt werden, sind von einer Therapie mit </w:t>
      </w:r>
      <w:proofErr w:type="spellStart"/>
      <w:r>
        <w:rPr>
          <w:rFonts w:ascii="Calibri" w:hAnsi="Calibri" w:cs="Calibri"/>
        </w:rPr>
        <w:t>Lecanemab</w:t>
      </w:r>
      <w:proofErr w:type="spellEnd"/>
      <w:r>
        <w:rPr>
          <w:rFonts w:ascii="Calibri" w:hAnsi="Calibri" w:cs="Calibri"/>
        </w:rPr>
        <w:t xml:space="preserve"> ausgeschlossen. </w:t>
      </w:r>
    </w:p>
    <w:p w14:paraId="2A862BF4" w14:textId="77777777" w:rsidR="008A221A" w:rsidRPr="00667BEE" w:rsidRDefault="008A221A" w:rsidP="008A221A">
      <w:pPr>
        <w:pStyle w:val="StandardWeb"/>
        <w:rPr>
          <w:rFonts w:ascii="Calibri" w:hAnsi="Calibri" w:cs="Calibri"/>
        </w:rPr>
      </w:pPr>
    </w:p>
    <w:p w14:paraId="7850FA91" w14:textId="2E033C34" w:rsidR="008A221A" w:rsidRPr="00667BEE" w:rsidRDefault="008A221A" w:rsidP="008A221A">
      <w:pPr>
        <w:pStyle w:val="StandardWeb"/>
        <w:rPr>
          <w:rFonts w:ascii="Calibri" w:hAnsi="Calibri" w:cs="Calibri"/>
        </w:rPr>
      </w:pPr>
      <w:proofErr w:type="spellStart"/>
      <w:r w:rsidRPr="00667BEE">
        <w:rPr>
          <w:rFonts w:ascii="Calibri" w:hAnsi="Calibri" w:cs="Calibri"/>
        </w:rPr>
        <w:t>Lecanemab</w:t>
      </w:r>
      <w:proofErr w:type="spellEnd"/>
      <w:r w:rsidRPr="00667BEE">
        <w:rPr>
          <w:rFonts w:ascii="Calibri" w:hAnsi="Calibri" w:cs="Calibri"/>
        </w:rPr>
        <w:t xml:space="preserve"> </w:t>
      </w:r>
      <w:r w:rsidR="00667BEE">
        <w:rPr>
          <w:rFonts w:ascii="Calibri" w:hAnsi="Calibri" w:cs="Calibri"/>
        </w:rPr>
        <w:t xml:space="preserve">soll </w:t>
      </w:r>
      <w:r w:rsidR="004B6FD2">
        <w:rPr>
          <w:rFonts w:ascii="Calibri" w:hAnsi="Calibri" w:cs="Calibri"/>
        </w:rPr>
        <w:t xml:space="preserve">über einen kontrollierten </w:t>
      </w:r>
      <w:r w:rsidR="00FE1D74">
        <w:rPr>
          <w:rFonts w:ascii="Calibri" w:hAnsi="Calibri" w:cs="Calibri"/>
        </w:rPr>
        <w:t xml:space="preserve">Zugang </w:t>
      </w:r>
      <w:r w:rsidR="00FE1D74" w:rsidRPr="00667BEE">
        <w:rPr>
          <w:rFonts w:ascii="Calibri" w:hAnsi="Calibri" w:cs="Calibri"/>
        </w:rPr>
        <w:t>verfügbar</w:t>
      </w:r>
      <w:r w:rsidRPr="00667BEE">
        <w:rPr>
          <w:rFonts w:ascii="Calibri" w:hAnsi="Calibri" w:cs="Calibri"/>
        </w:rPr>
        <w:t xml:space="preserve"> gemacht </w:t>
      </w:r>
      <w:r w:rsidR="00667BEE">
        <w:rPr>
          <w:rFonts w:ascii="Calibri" w:hAnsi="Calibri" w:cs="Calibri"/>
        </w:rPr>
        <w:t>werden</w:t>
      </w:r>
      <w:r w:rsidR="004B6FD2">
        <w:rPr>
          <w:rFonts w:ascii="Calibri" w:hAnsi="Calibri" w:cs="Calibri"/>
        </w:rPr>
        <w:t>, um die Zulassungsauflagen zu gewährleisten</w:t>
      </w:r>
      <w:r w:rsidRPr="00667BEE">
        <w:rPr>
          <w:rFonts w:ascii="Calibri" w:hAnsi="Calibri" w:cs="Calibri"/>
        </w:rPr>
        <w:t xml:space="preserve">. </w:t>
      </w:r>
      <w:r w:rsidR="004B6FD2">
        <w:rPr>
          <w:rFonts w:ascii="Calibri" w:hAnsi="Calibri" w:cs="Calibri"/>
        </w:rPr>
        <w:t>Wie dieses im Detail umzusetzen ist, muss noch festgelegt werden</w:t>
      </w:r>
      <w:r w:rsidRPr="00667BEE">
        <w:rPr>
          <w:rFonts w:ascii="Calibri" w:hAnsi="Calibri" w:cs="Calibri"/>
        </w:rPr>
        <w:t xml:space="preserve">. Auch </w:t>
      </w:r>
      <w:r w:rsidR="00667BEE">
        <w:rPr>
          <w:rFonts w:ascii="Calibri" w:hAnsi="Calibri" w:cs="Calibri"/>
        </w:rPr>
        <w:t xml:space="preserve">braucht </w:t>
      </w:r>
      <w:r w:rsidR="004B6FD2">
        <w:rPr>
          <w:rFonts w:ascii="Calibri" w:hAnsi="Calibri" w:cs="Calibri"/>
        </w:rPr>
        <w:t>es in allen europäischen Ländern</w:t>
      </w:r>
      <w:r w:rsidRPr="00667BEE">
        <w:rPr>
          <w:rFonts w:ascii="Calibri" w:hAnsi="Calibri" w:cs="Calibri"/>
        </w:rPr>
        <w:t xml:space="preserve"> ein Register</w:t>
      </w:r>
      <w:r w:rsidR="004B6FD2">
        <w:rPr>
          <w:rFonts w:ascii="Calibri" w:hAnsi="Calibri" w:cs="Calibri"/>
        </w:rPr>
        <w:t>, welches Daten sammelt die eine Beurteilung der Wirksamkeit und Sicherheit der neuen Therapieform im Verlauf erlauben.</w:t>
      </w:r>
      <w:r w:rsidRPr="00667BEE">
        <w:rPr>
          <w:rFonts w:ascii="Calibri" w:hAnsi="Calibri" w:cs="Calibri"/>
        </w:rPr>
        <w:t> </w:t>
      </w:r>
      <w:r w:rsidR="00731D6F">
        <w:rPr>
          <w:rFonts w:ascii="Calibri" w:hAnsi="Calibri" w:cs="Calibri"/>
        </w:rPr>
        <w:t xml:space="preserve">Dazu wurde das Deutsche Register für Demenzen (DEMREG) in den letzten Jahren im Deutschen Netzwerk </w:t>
      </w:r>
      <w:r w:rsidR="00105ADC">
        <w:rPr>
          <w:rFonts w:ascii="Calibri" w:hAnsi="Calibri" w:cs="Calibri"/>
        </w:rPr>
        <w:t>Gedächtnis</w:t>
      </w:r>
      <w:r w:rsidR="00731D6F">
        <w:rPr>
          <w:rFonts w:ascii="Calibri" w:hAnsi="Calibri" w:cs="Calibri"/>
        </w:rPr>
        <w:t xml:space="preserve">ambulanzen aufgebaut. </w:t>
      </w:r>
    </w:p>
    <w:p w14:paraId="55A97F17" w14:textId="77777777" w:rsidR="008A221A" w:rsidRPr="00667BEE" w:rsidRDefault="008A221A" w:rsidP="00C650C5">
      <w:pPr>
        <w:pStyle w:val="StandardWeb"/>
        <w:rPr>
          <w:rFonts w:ascii="Calibri" w:hAnsi="Calibri" w:cs="Calibri"/>
          <w:color w:val="000000"/>
        </w:rPr>
      </w:pPr>
    </w:p>
    <w:p w14:paraId="627D7D47" w14:textId="77777777" w:rsidR="00667BEE" w:rsidRPr="00667BEE" w:rsidRDefault="00667BEE" w:rsidP="00667BEE">
      <w:pPr>
        <w:pStyle w:val="StandardWeb"/>
        <w:rPr>
          <w:rFonts w:ascii="Calibri" w:hAnsi="Calibri" w:cs="Calibri"/>
          <w:color w:val="000000"/>
        </w:rPr>
      </w:pPr>
      <w:r w:rsidRPr="00667BEE">
        <w:rPr>
          <w:rFonts w:ascii="Calibri" w:hAnsi="Calibri" w:cs="Calibri"/>
          <w:color w:val="000000"/>
        </w:rPr>
        <w:lastRenderedPageBreak/>
        <w:t xml:space="preserve">Die </w:t>
      </w:r>
      <w:r>
        <w:rPr>
          <w:rFonts w:ascii="Calibri" w:hAnsi="Calibri" w:cs="Calibri"/>
          <w:color w:val="000000"/>
        </w:rPr>
        <w:t xml:space="preserve">Wirksamkeit </w:t>
      </w:r>
      <w:r w:rsidR="004B6FD2">
        <w:rPr>
          <w:rFonts w:ascii="Calibri" w:hAnsi="Calibri" w:cs="Calibri"/>
          <w:color w:val="000000"/>
        </w:rPr>
        <w:t xml:space="preserve">von </w:t>
      </w:r>
      <w:proofErr w:type="spellStart"/>
      <w:r w:rsidR="004B6FD2">
        <w:rPr>
          <w:rFonts w:ascii="Calibri" w:hAnsi="Calibri" w:cs="Calibri"/>
          <w:color w:val="000000"/>
        </w:rPr>
        <w:t>Lecanemab</w:t>
      </w:r>
      <w:proofErr w:type="spellEnd"/>
      <w:r w:rsidR="004B6FD2">
        <w:rPr>
          <w:rFonts w:ascii="Calibri" w:hAnsi="Calibri" w:cs="Calibri"/>
          <w:color w:val="000000"/>
        </w:rPr>
        <w:t xml:space="preserve"> und anderen gegen Amyloid gerichteten Antikörpern hinsichtlich</w:t>
      </w:r>
      <w:r w:rsidR="00623433">
        <w:rPr>
          <w:rFonts w:ascii="Calibri" w:hAnsi="Calibri" w:cs="Calibri"/>
          <w:color w:val="000000"/>
        </w:rPr>
        <w:t xml:space="preserve"> Kognition und </w:t>
      </w:r>
      <w:r w:rsidR="00FE1D74">
        <w:rPr>
          <w:rFonts w:ascii="Calibri" w:hAnsi="Calibri" w:cs="Calibri"/>
          <w:color w:val="000000"/>
        </w:rPr>
        <w:t>Alltagskompetenz, sowie</w:t>
      </w:r>
      <w:r w:rsidR="00623433">
        <w:rPr>
          <w:rFonts w:ascii="Calibri" w:hAnsi="Calibri" w:cs="Calibri"/>
          <w:color w:val="000000"/>
        </w:rPr>
        <w:t xml:space="preserve"> auf die Lebensqualität von</w:t>
      </w:r>
      <w:r w:rsidRPr="00667BEE">
        <w:rPr>
          <w:rFonts w:ascii="Calibri" w:hAnsi="Calibri" w:cs="Calibri"/>
          <w:color w:val="000000"/>
        </w:rPr>
        <w:t xml:space="preserve"> Patienten und </w:t>
      </w:r>
      <w:r w:rsidR="00623433">
        <w:rPr>
          <w:rFonts w:ascii="Calibri" w:hAnsi="Calibri" w:cs="Calibri"/>
          <w:color w:val="000000"/>
        </w:rPr>
        <w:t>Angehörige</w:t>
      </w:r>
      <w:r w:rsidR="00296B4E">
        <w:rPr>
          <w:rFonts w:ascii="Calibri" w:hAnsi="Calibri" w:cs="Calibri"/>
          <w:color w:val="000000"/>
        </w:rPr>
        <w:t>n</w:t>
      </w:r>
      <w:r w:rsidRPr="00667BEE">
        <w:rPr>
          <w:rFonts w:ascii="Calibri" w:hAnsi="Calibri" w:cs="Calibri"/>
          <w:color w:val="000000"/>
        </w:rPr>
        <w:t xml:space="preserve"> </w:t>
      </w:r>
      <w:r w:rsidR="00623433">
        <w:rPr>
          <w:rFonts w:ascii="Calibri" w:hAnsi="Calibri" w:cs="Calibri"/>
          <w:color w:val="000000"/>
        </w:rPr>
        <w:t>wi</w:t>
      </w:r>
      <w:r w:rsidRPr="00667BEE">
        <w:rPr>
          <w:rFonts w:ascii="Calibri" w:hAnsi="Calibri" w:cs="Calibri"/>
          <w:color w:val="000000"/>
        </w:rPr>
        <w:t xml:space="preserve">rd im Vergleich zu anderen Krankheiten </w:t>
      </w:r>
      <w:r w:rsidR="00623433">
        <w:rPr>
          <w:rFonts w:ascii="Calibri" w:hAnsi="Calibri" w:cs="Calibri"/>
          <w:color w:val="000000"/>
        </w:rPr>
        <w:t xml:space="preserve">häufig </w:t>
      </w:r>
      <w:r w:rsidRPr="00667BEE">
        <w:rPr>
          <w:rFonts w:ascii="Calibri" w:hAnsi="Calibri" w:cs="Calibri"/>
          <w:color w:val="000000"/>
        </w:rPr>
        <w:t>unterschätzt. Eine 27%ige Verringerung des Fortschreitens der Symptome und eine 31%ige Verringerung des Risikos, innerhalb von 18 Monaten in ein schwereres Stadium überzugehen (Hazard Ratio 0-69) ist klinisch relevant und mit der Wirksamkeit von zugelassenen Biologika in anderen Indikationen vergleichbar.</w:t>
      </w:r>
    </w:p>
    <w:p w14:paraId="033C0A87" w14:textId="77777777" w:rsidR="00667BEE" w:rsidRPr="00667BEE" w:rsidRDefault="00667BEE" w:rsidP="00667BEE">
      <w:pPr>
        <w:pStyle w:val="StandardWeb"/>
        <w:rPr>
          <w:rFonts w:ascii="Calibri" w:hAnsi="Calibri" w:cs="Calibri"/>
          <w:color w:val="000000"/>
        </w:rPr>
      </w:pPr>
    </w:p>
    <w:p w14:paraId="316C8894" w14:textId="464D1058" w:rsidR="00667BEE" w:rsidRPr="00667BEE" w:rsidRDefault="00667BEE" w:rsidP="00667BEE">
      <w:pPr>
        <w:rPr>
          <w:rFonts w:ascii="Calibri" w:hAnsi="Calibri" w:cs="Calibri"/>
          <w:color w:val="000000"/>
          <w:sz w:val="24"/>
          <w:szCs w:val="24"/>
          <w:lang w:eastAsia="de-DE"/>
        </w:rPr>
      </w:pPr>
      <w:proofErr w:type="spellStart"/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Lecanemab</w:t>
      </w:r>
      <w:proofErr w:type="spellEnd"/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birgt ein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erhöhtes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Risiko für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Nebenwirkungen in Form von Hirnödemen und </w:t>
      </w:r>
      <w:proofErr w:type="gramStart"/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Blutungen</w:t>
      </w:r>
      <w:proofErr w:type="gramEnd"/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die 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in der überwiegenden Mehrheit der Fälle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klinisch stumm bleiben und nur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im MRT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detektiert werden können 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>(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A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myloid-</w:t>
      </w:r>
      <w:proofErr w:type="spellStart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related</w:t>
      </w:r>
      <w:proofErr w:type="spellEnd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proofErr w:type="spellStart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imaging</w:t>
      </w:r>
      <w:proofErr w:type="spellEnd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proofErr w:type="spellStart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abnormalities</w:t>
      </w:r>
      <w:proofErr w:type="spellEnd"/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, 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>ARIA)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.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B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ei APOE4 homozygoten </w:t>
      </w:r>
      <w:proofErr w:type="gramStart"/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Patienten</w:t>
      </w:r>
      <w:r w:rsidR="00731D6F">
        <w:rPr>
          <w:rFonts w:ascii="Calibri" w:hAnsi="Calibri" w:cs="Calibri"/>
          <w:color w:val="000000"/>
          <w:sz w:val="24"/>
          <w:szCs w:val="24"/>
          <w:lang w:eastAsia="de-DE"/>
        </w:rPr>
        <w:t xml:space="preserve">,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die</w:t>
      </w:r>
      <w:proofErr w:type="gramEnd"/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ARIA bekommen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>,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treten in 10%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leichte bis mittelschwere klinische Symptome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im ersten Jahr der Behandlung</w:t>
      </w:r>
      <w:r w:rsidR="00296B4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auf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. Schließt man diese Gruppe 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von der Indikation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aus (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>betrifft ca.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15 % aller 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geeigneten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Patienten), reduziert sich die Häufigkeit auf unter 2 %. 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In der Zulassungsindikation ist also bei ca. 2% der behandelten Patienten von klinisch relevanten Nebenwirkungen auszugehen.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In der Open-Label-Verlängerungsstudie wurden zwei tödliche intrazerebrale Blutungen gemeldet, beide bei APOE4-Homozygoten. 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In summa sind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die mit </w:t>
      </w:r>
      <w:proofErr w:type="spellStart"/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Lecanemab</w:t>
      </w:r>
      <w:proofErr w:type="spellEnd"/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assoziierte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n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Nebenwirkungen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vergleichbar </w:t>
      </w:r>
      <w:r w:rsidR="00FE1D74"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mit </w:t>
      </w:r>
      <w:r w:rsidR="00FE1D74">
        <w:rPr>
          <w:rFonts w:ascii="Calibri" w:hAnsi="Calibri" w:cs="Calibri"/>
          <w:color w:val="000000"/>
          <w:sz w:val="24"/>
          <w:szCs w:val="24"/>
          <w:lang w:eastAsia="de-DE"/>
        </w:rPr>
        <w:t>denen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 xml:space="preserve"> von 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 xml:space="preserve">in anderen Indikationen 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zugela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>s</w:t>
      </w:r>
      <w:r w:rsidRPr="00667BEE">
        <w:rPr>
          <w:rFonts w:ascii="Calibri" w:hAnsi="Calibri" w:cs="Calibri"/>
          <w:color w:val="000000"/>
          <w:sz w:val="24"/>
          <w:szCs w:val="24"/>
          <w:lang w:eastAsia="de-DE"/>
        </w:rPr>
        <w:t>senen Biologika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>. Eine Therapie mit Antikoagulantien wird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, laut Entscheidung des CHMP,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wegen erhöhte</w:t>
      </w:r>
      <w:r w:rsidR="003C617E">
        <w:rPr>
          <w:rFonts w:ascii="Calibri" w:hAnsi="Calibri" w:cs="Calibri"/>
          <w:color w:val="000000"/>
          <w:sz w:val="24"/>
          <w:szCs w:val="24"/>
          <w:lang w:eastAsia="de-DE"/>
        </w:rPr>
        <w:t>m</w:t>
      </w:r>
      <w:r w:rsidR="00623433">
        <w:rPr>
          <w:rFonts w:ascii="Calibri" w:hAnsi="Calibri" w:cs="Calibri"/>
          <w:color w:val="000000"/>
          <w:sz w:val="24"/>
          <w:szCs w:val="24"/>
          <w:lang w:eastAsia="de-DE"/>
        </w:rPr>
        <w:t xml:space="preserve"> Blutungsrisiko ebenfalls eine Kontraindikation darstellen.</w:t>
      </w:r>
    </w:p>
    <w:p w14:paraId="2BC05DB3" w14:textId="77777777" w:rsidR="00623433" w:rsidRDefault="00623433">
      <w:pPr>
        <w:rPr>
          <w:sz w:val="24"/>
          <w:szCs w:val="24"/>
        </w:rPr>
      </w:pPr>
      <w:r>
        <w:rPr>
          <w:sz w:val="24"/>
          <w:szCs w:val="24"/>
        </w:rPr>
        <w:t>Auf der Basis epidemiolo</w:t>
      </w:r>
      <w:r w:rsidR="00667BEE" w:rsidRPr="00667BEE">
        <w:rPr>
          <w:sz w:val="24"/>
          <w:szCs w:val="24"/>
        </w:rPr>
        <w:t xml:space="preserve">gischer Daten und klinischer Erkenntnisse </w:t>
      </w:r>
      <w:r>
        <w:rPr>
          <w:sz w:val="24"/>
          <w:szCs w:val="24"/>
        </w:rPr>
        <w:t xml:space="preserve">wird </w:t>
      </w:r>
      <w:r w:rsidRPr="00667BEE">
        <w:rPr>
          <w:sz w:val="24"/>
          <w:szCs w:val="24"/>
        </w:rPr>
        <w:t>geschätzt</w:t>
      </w:r>
      <w:r>
        <w:rPr>
          <w:sz w:val="24"/>
          <w:szCs w:val="24"/>
        </w:rPr>
        <w:t>, dass etwa</w:t>
      </w:r>
      <w:r w:rsidR="00667BEE" w:rsidRPr="00667BEE">
        <w:rPr>
          <w:sz w:val="24"/>
          <w:szCs w:val="24"/>
        </w:rPr>
        <w:t xml:space="preserve"> 38.000 – 48.600 Patien</w:t>
      </w:r>
      <w:r>
        <w:rPr>
          <w:sz w:val="24"/>
          <w:szCs w:val="24"/>
        </w:rPr>
        <w:t>ten pro Jahr</w:t>
      </w:r>
      <w:r w:rsidR="00667BEE" w:rsidRPr="00667BEE">
        <w:rPr>
          <w:sz w:val="24"/>
          <w:szCs w:val="24"/>
        </w:rPr>
        <w:t xml:space="preserve"> für </w:t>
      </w:r>
      <w:r>
        <w:rPr>
          <w:sz w:val="24"/>
          <w:szCs w:val="24"/>
        </w:rPr>
        <w:t xml:space="preserve">eine Therapie mit </w:t>
      </w:r>
      <w:proofErr w:type="spellStart"/>
      <w:r>
        <w:rPr>
          <w:sz w:val="24"/>
          <w:szCs w:val="24"/>
        </w:rPr>
        <w:t>Lecanemab</w:t>
      </w:r>
      <w:proofErr w:type="spellEnd"/>
      <w:r>
        <w:rPr>
          <w:sz w:val="24"/>
          <w:szCs w:val="24"/>
        </w:rPr>
        <w:t xml:space="preserve"> </w:t>
      </w:r>
      <w:r w:rsidR="003C617E">
        <w:rPr>
          <w:sz w:val="24"/>
          <w:szCs w:val="24"/>
        </w:rPr>
        <w:t xml:space="preserve">in Deutschland </w:t>
      </w:r>
      <w:r>
        <w:rPr>
          <w:sz w:val="24"/>
          <w:szCs w:val="24"/>
        </w:rPr>
        <w:t>geeignet sind. Die Datenbasis dieser Schätzungen ist allerdings sehr unsicher. Das Ge</w:t>
      </w:r>
      <w:r w:rsidR="00667BEE" w:rsidRPr="00667BEE">
        <w:rPr>
          <w:sz w:val="24"/>
          <w:szCs w:val="24"/>
        </w:rPr>
        <w:t xml:space="preserve">sundheitssystem ist </w:t>
      </w:r>
      <w:r w:rsidR="003C617E">
        <w:rPr>
          <w:sz w:val="24"/>
          <w:szCs w:val="24"/>
        </w:rPr>
        <w:t>aus Sicht des deutschen Netzwerk</w:t>
      </w:r>
      <w:r w:rsidR="00FE1D74">
        <w:rPr>
          <w:sz w:val="24"/>
          <w:szCs w:val="24"/>
        </w:rPr>
        <w:t>s</w:t>
      </w:r>
      <w:r w:rsidR="003C617E">
        <w:rPr>
          <w:sz w:val="24"/>
          <w:szCs w:val="24"/>
        </w:rPr>
        <w:t xml:space="preserve"> der Gedächtnisambulanzen </w:t>
      </w:r>
      <w:r w:rsidR="00667BEE" w:rsidRPr="00667BEE">
        <w:rPr>
          <w:sz w:val="24"/>
          <w:szCs w:val="24"/>
        </w:rPr>
        <w:t xml:space="preserve">aktuell unzureichend auf die adäquate Versorgung </w:t>
      </w:r>
      <w:r w:rsidR="004B366C">
        <w:rPr>
          <w:sz w:val="24"/>
          <w:szCs w:val="24"/>
        </w:rPr>
        <w:t xml:space="preserve">der </w:t>
      </w:r>
      <w:r w:rsidR="00667BEE" w:rsidRPr="00667BEE">
        <w:rPr>
          <w:sz w:val="24"/>
          <w:szCs w:val="24"/>
        </w:rPr>
        <w:t xml:space="preserve">Patienten </w:t>
      </w:r>
      <w:r w:rsidR="004B366C">
        <w:rPr>
          <w:sz w:val="24"/>
          <w:szCs w:val="24"/>
        </w:rPr>
        <w:t xml:space="preserve">im Frühstadium der Alzheimererkrankung </w:t>
      </w:r>
      <w:r w:rsidR="00667BEE" w:rsidRPr="00667BEE">
        <w:rPr>
          <w:sz w:val="24"/>
          <w:szCs w:val="24"/>
        </w:rPr>
        <w:t>vorbereitet</w:t>
      </w:r>
      <w:r>
        <w:rPr>
          <w:sz w:val="24"/>
          <w:szCs w:val="24"/>
        </w:rPr>
        <w:t xml:space="preserve">, was zu erheblichen Wartezeiten </w:t>
      </w:r>
      <w:r w:rsidR="004B366C">
        <w:rPr>
          <w:sz w:val="24"/>
          <w:szCs w:val="24"/>
        </w:rPr>
        <w:t xml:space="preserve">für Patienten </w:t>
      </w:r>
      <w:r>
        <w:rPr>
          <w:sz w:val="24"/>
          <w:szCs w:val="24"/>
        </w:rPr>
        <w:t xml:space="preserve">führen </w:t>
      </w:r>
      <w:r w:rsidR="004B366C">
        <w:rPr>
          <w:sz w:val="24"/>
          <w:szCs w:val="24"/>
        </w:rPr>
        <w:t>kann</w:t>
      </w:r>
      <w:r w:rsidR="00667BEE" w:rsidRPr="00667BEE">
        <w:rPr>
          <w:sz w:val="24"/>
          <w:szCs w:val="24"/>
        </w:rPr>
        <w:t xml:space="preserve">. </w:t>
      </w:r>
    </w:p>
    <w:p w14:paraId="0DD774E5" w14:textId="77777777" w:rsidR="00667BEE" w:rsidRPr="00667BEE" w:rsidRDefault="00667BEE">
      <w:pPr>
        <w:rPr>
          <w:sz w:val="24"/>
          <w:szCs w:val="24"/>
        </w:rPr>
      </w:pPr>
      <w:r w:rsidRPr="00667BEE">
        <w:rPr>
          <w:sz w:val="24"/>
          <w:szCs w:val="24"/>
        </w:rPr>
        <w:t xml:space="preserve">Es bestehen Defizite in der Implementierung der neuen diagnostischen und therapeutischen Optionen, zudem gibt es Informations- und Kompetenzdefizite. Neue Kooperationsstrukturen und </w:t>
      </w:r>
      <w:r w:rsidR="004B366C">
        <w:rPr>
          <w:sz w:val="24"/>
          <w:szCs w:val="24"/>
        </w:rPr>
        <w:t>Netzwerke der Kommunikation</w:t>
      </w:r>
      <w:r w:rsidRPr="00667BEE">
        <w:rPr>
          <w:sz w:val="24"/>
          <w:szCs w:val="24"/>
        </w:rPr>
        <w:t xml:space="preserve"> zw</w:t>
      </w:r>
      <w:r w:rsidR="00623433">
        <w:rPr>
          <w:sz w:val="24"/>
          <w:szCs w:val="24"/>
        </w:rPr>
        <w:t>ischen allen Bereichen der ärzt</w:t>
      </w:r>
      <w:r w:rsidRPr="00667BEE">
        <w:rPr>
          <w:sz w:val="24"/>
          <w:szCs w:val="24"/>
        </w:rPr>
        <w:t xml:space="preserve">lichen Versorgung sowie den spezialisierten Versorgungsstrukturen </w:t>
      </w:r>
      <w:r w:rsidR="00623433" w:rsidRPr="00667BEE">
        <w:rPr>
          <w:sz w:val="24"/>
          <w:szCs w:val="24"/>
        </w:rPr>
        <w:t xml:space="preserve">müssen </w:t>
      </w:r>
      <w:r w:rsidR="00623433">
        <w:rPr>
          <w:sz w:val="24"/>
          <w:szCs w:val="24"/>
        </w:rPr>
        <w:t xml:space="preserve">noch </w:t>
      </w:r>
      <w:r w:rsidRPr="00667BEE">
        <w:rPr>
          <w:sz w:val="24"/>
          <w:szCs w:val="24"/>
        </w:rPr>
        <w:t>entwickelt werden, um diesen neuen Herausforderungen gerecht zu werden.</w:t>
      </w:r>
    </w:p>
    <w:p w14:paraId="1DAC3901" w14:textId="77777777" w:rsidR="00667BEE" w:rsidRPr="00667BEE" w:rsidRDefault="00667BEE">
      <w:pPr>
        <w:rPr>
          <w:sz w:val="24"/>
          <w:szCs w:val="24"/>
        </w:rPr>
      </w:pPr>
    </w:p>
    <w:sectPr w:rsidR="00667BEE" w:rsidRPr="00667B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C5865"/>
    <w:multiLevelType w:val="hybridMultilevel"/>
    <w:tmpl w:val="EF763C54"/>
    <w:lvl w:ilvl="0" w:tplc="CF7A1BC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0273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0C5"/>
    <w:rsid w:val="00105ADC"/>
    <w:rsid w:val="0013720E"/>
    <w:rsid w:val="00174F4F"/>
    <w:rsid w:val="00223DAC"/>
    <w:rsid w:val="00296B4E"/>
    <w:rsid w:val="002C76DA"/>
    <w:rsid w:val="003A2969"/>
    <w:rsid w:val="003C617E"/>
    <w:rsid w:val="00410CD7"/>
    <w:rsid w:val="004B366C"/>
    <w:rsid w:val="004B6FD2"/>
    <w:rsid w:val="004C2A11"/>
    <w:rsid w:val="00623433"/>
    <w:rsid w:val="00667BEE"/>
    <w:rsid w:val="00731D6F"/>
    <w:rsid w:val="00871627"/>
    <w:rsid w:val="008A221A"/>
    <w:rsid w:val="009A3ED4"/>
    <w:rsid w:val="009D1855"/>
    <w:rsid w:val="009F383E"/>
    <w:rsid w:val="00C650C5"/>
    <w:rsid w:val="00D43C1E"/>
    <w:rsid w:val="00FE1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092CE"/>
  <w15:chartTrackingRefBased/>
  <w15:docId w15:val="{3F9FB400-70EF-4FC2-A5B1-635F943C6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C650C5"/>
    <w:pPr>
      <w:spacing w:after="0" w:line="240" w:lineRule="auto"/>
    </w:pPr>
    <w:rPr>
      <w:rFonts w:ascii="Times New Roman" w:hAnsi="Times New Roman" w:cs="Times New Roman"/>
      <w:sz w:val="24"/>
      <w:szCs w:val="24"/>
      <w:lang w:eastAsia="de-DE"/>
    </w:rPr>
  </w:style>
  <w:style w:type="paragraph" w:styleId="berarbeitung">
    <w:name w:val="Revision"/>
    <w:hidden/>
    <w:uiPriority w:val="99"/>
    <w:semiHidden/>
    <w:rsid w:val="00731D6F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31D6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31D6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31D6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31D6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31D6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05A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05A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68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5016E2-3CB6-4A45-8E6D-CA84F9B93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737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ZI Mannheim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Froelich, Lutz</dc:creator>
  <cp:keywords/>
  <dc:description/>
  <cp:lastModifiedBy>Michels, Jennifer</cp:lastModifiedBy>
  <cp:revision>2</cp:revision>
  <dcterms:created xsi:type="dcterms:W3CDTF">2024-11-22T12:50:00Z</dcterms:created>
  <dcterms:modified xsi:type="dcterms:W3CDTF">2024-11-22T12:50:00Z</dcterms:modified>
</cp:coreProperties>
</file>