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58F3CA" w14:textId="5A2DD8F3" w:rsidR="008A1EA9" w:rsidRDefault="008A1EA9" w:rsidP="008A1EA9">
      <w:pPr>
        <w:jc w:val="both"/>
        <w:rPr>
          <w:rFonts w:ascii="Times New Roman" w:hAnsi="Times New Roman" w:cs="Times New Roman"/>
          <w:b/>
          <w:lang w:val="de-DE"/>
        </w:rPr>
      </w:pPr>
      <w:r>
        <w:rPr>
          <w:rFonts w:ascii="Times New Roman" w:hAnsi="Times New Roman" w:cs="Times New Roman"/>
          <w:b/>
          <w:lang w:val="de-DE"/>
        </w:rPr>
        <w:t>Arbeitsgruppe</w:t>
      </w:r>
      <w:r w:rsidRPr="008A1EA9">
        <w:rPr>
          <w:rFonts w:ascii="Times New Roman" w:hAnsi="Times New Roman" w:cs="Times New Roman"/>
          <w:b/>
          <w:lang w:val="de-DE"/>
        </w:rPr>
        <w:t xml:space="preserve"> Neue Therapieansätze, Monitoring und Vorstand</w:t>
      </w:r>
      <w:r>
        <w:rPr>
          <w:rFonts w:ascii="Times New Roman" w:hAnsi="Times New Roman" w:cs="Times New Roman"/>
          <w:b/>
          <w:lang w:val="de-DE"/>
        </w:rPr>
        <w:t xml:space="preserve"> </w:t>
      </w:r>
      <w:r w:rsidRPr="008A1EA9">
        <w:rPr>
          <w:rFonts w:ascii="Times New Roman" w:hAnsi="Times New Roman" w:cs="Times New Roman"/>
          <w:b/>
          <w:lang w:val="de-DE"/>
        </w:rPr>
        <w:t>des Deutschen Netzwerks Gedächtnisambulanzen</w:t>
      </w:r>
    </w:p>
    <w:p w14:paraId="009243DC" w14:textId="0AD1F7FA" w:rsidR="005B5EAD" w:rsidRDefault="004F25A3" w:rsidP="008A1EA9">
      <w:pPr>
        <w:jc w:val="both"/>
        <w:rPr>
          <w:rFonts w:ascii="Times New Roman" w:hAnsi="Times New Roman" w:cs="Times New Roman"/>
          <w:b/>
          <w:lang w:val="de-DE"/>
        </w:rPr>
      </w:pPr>
      <w:r w:rsidRPr="005D1555">
        <w:rPr>
          <w:rFonts w:ascii="Times New Roman" w:hAnsi="Times New Roman" w:cs="Times New Roman"/>
          <w:b/>
          <w:lang w:val="de-DE"/>
        </w:rPr>
        <w:t xml:space="preserve">Stellungnahme zum G-BA-Beschluss zu </w:t>
      </w:r>
      <w:proofErr w:type="spellStart"/>
      <w:r w:rsidRPr="005D1555">
        <w:rPr>
          <w:rFonts w:ascii="Times New Roman" w:hAnsi="Times New Roman" w:cs="Times New Roman"/>
          <w:b/>
          <w:lang w:val="de-DE"/>
        </w:rPr>
        <w:t>Donanemab</w:t>
      </w:r>
      <w:proofErr w:type="spellEnd"/>
      <w:r w:rsidRPr="005D1555">
        <w:rPr>
          <w:rFonts w:ascii="Times New Roman" w:hAnsi="Times New Roman" w:cs="Times New Roman"/>
          <w:b/>
          <w:lang w:val="de-DE"/>
        </w:rPr>
        <w:t xml:space="preserve"> (</w:t>
      </w:r>
      <w:proofErr w:type="spellStart"/>
      <w:r w:rsidRPr="005D1555">
        <w:rPr>
          <w:rFonts w:ascii="Times New Roman" w:hAnsi="Times New Roman" w:cs="Times New Roman"/>
          <w:b/>
          <w:lang w:val="de-DE"/>
        </w:rPr>
        <w:t>Kisunla</w:t>
      </w:r>
      <w:proofErr w:type="spellEnd"/>
      <w:r w:rsidRPr="005D1555">
        <w:rPr>
          <w:rFonts w:ascii="Times New Roman" w:hAnsi="Times New Roman" w:cs="Times New Roman"/>
          <w:b/>
          <w:lang w:val="de-DE"/>
        </w:rPr>
        <w:t>) und zum Cochrane-Review zu anti-</w:t>
      </w:r>
      <w:r w:rsidR="006734F9">
        <w:rPr>
          <w:rFonts w:ascii="Times New Roman" w:hAnsi="Times New Roman" w:cs="Times New Roman"/>
          <w:b/>
          <w:lang w:val="de-DE"/>
        </w:rPr>
        <w:t>A</w:t>
      </w:r>
      <w:r w:rsidRPr="005D1555">
        <w:rPr>
          <w:rFonts w:ascii="Times New Roman" w:hAnsi="Times New Roman" w:cs="Times New Roman"/>
          <w:b/>
          <w:lang w:val="de-DE"/>
        </w:rPr>
        <w:t>myloid Antikörpern</w:t>
      </w:r>
      <w:r w:rsidR="006734F9">
        <w:rPr>
          <w:rFonts w:ascii="Times New Roman" w:hAnsi="Times New Roman" w:cs="Times New Roman"/>
          <w:b/>
          <w:lang w:val="de-DE"/>
        </w:rPr>
        <w:t xml:space="preserve"> für die frühe Alzheimer-Krankheit:</w:t>
      </w:r>
    </w:p>
    <w:p w14:paraId="3C1C2B41" w14:textId="4136928E" w:rsidR="006734F9" w:rsidRDefault="006734F9" w:rsidP="008A1EA9">
      <w:pPr>
        <w:jc w:val="both"/>
        <w:rPr>
          <w:rFonts w:ascii="Times New Roman" w:hAnsi="Times New Roman" w:cs="Times New Roman"/>
          <w:b/>
          <w:lang w:val="de-DE"/>
        </w:rPr>
      </w:pPr>
      <w:r w:rsidRPr="006734F9">
        <w:rPr>
          <w:rFonts w:ascii="Times New Roman" w:hAnsi="Times New Roman" w:cs="Times New Roman"/>
          <w:b/>
          <w:lang w:val="de-DE"/>
        </w:rPr>
        <w:t xml:space="preserve">Eine pauschale Ablehnung </w:t>
      </w:r>
      <w:r>
        <w:rPr>
          <w:rFonts w:ascii="Times New Roman" w:hAnsi="Times New Roman" w:cs="Times New Roman"/>
          <w:b/>
          <w:lang w:val="de-DE"/>
        </w:rPr>
        <w:t xml:space="preserve">von </w:t>
      </w:r>
      <w:r w:rsidRPr="006734F9">
        <w:rPr>
          <w:rFonts w:ascii="Times New Roman" w:hAnsi="Times New Roman" w:cs="Times New Roman"/>
          <w:b/>
          <w:lang w:val="de-DE"/>
        </w:rPr>
        <w:t>anti-</w:t>
      </w:r>
      <w:r>
        <w:rPr>
          <w:rFonts w:ascii="Times New Roman" w:hAnsi="Times New Roman" w:cs="Times New Roman"/>
          <w:b/>
          <w:lang w:val="de-DE"/>
        </w:rPr>
        <w:t>A</w:t>
      </w:r>
      <w:r w:rsidRPr="006734F9">
        <w:rPr>
          <w:rFonts w:ascii="Times New Roman" w:hAnsi="Times New Roman" w:cs="Times New Roman"/>
          <w:b/>
          <w:lang w:val="de-DE"/>
        </w:rPr>
        <w:t>myloid Therapien greift zu kurz</w:t>
      </w:r>
    </w:p>
    <w:p w14:paraId="1D874F6D" w14:textId="77777777" w:rsidR="006734F9" w:rsidRPr="008A1EA9" w:rsidRDefault="006734F9" w:rsidP="008A1EA9">
      <w:pPr>
        <w:jc w:val="both"/>
        <w:rPr>
          <w:rFonts w:ascii="Times New Roman" w:hAnsi="Times New Roman" w:cs="Times New Roman"/>
          <w:b/>
          <w:lang w:val="de-DE"/>
        </w:rPr>
      </w:pPr>
    </w:p>
    <w:p w14:paraId="06420207" w14:textId="683084ED" w:rsidR="005B5EAD" w:rsidRPr="005D1555" w:rsidRDefault="004F25A3" w:rsidP="005D1555">
      <w:pPr>
        <w:jc w:val="both"/>
        <w:rPr>
          <w:rFonts w:ascii="Times New Roman" w:hAnsi="Times New Roman" w:cs="Times New Roman"/>
          <w:lang w:val="de-DE"/>
        </w:rPr>
      </w:pPr>
      <w:r w:rsidRPr="005D1555">
        <w:rPr>
          <w:rFonts w:ascii="Times New Roman" w:hAnsi="Times New Roman" w:cs="Times New Roman"/>
          <w:i/>
          <w:lang w:val="de-DE"/>
        </w:rPr>
        <w:t xml:space="preserve">Stand: </w:t>
      </w:r>
      <w:r w:rsidR="006734F9">
        <w:rPr>
          <w:rFonts w:ascii="Times New Roman" w:hAnsi="Times New Roman" w:cs="Times New Roman"/>
          <w:i/>
          <w:lang w:val="de-DE"/>
        </w:rPr>
        <w:t>2</w:t>
      </w:r>
      <w:r w:rsidR="00B42A08">
        <w:rPr>
          <w:rFonts w:ascii="Times New Roman" w:hAnsi="Times New Roman" w:cs="Times New Roman"/>
          <w:i/>
          <w:lang w:val="de-DE"/>
        </w:rPr>
        <w:t>1</w:t>
      </w:r>
      <w:r w:rsidRPr="005D1555">
        <w:rPr>
          <w:rFonts w:ascii="Times New Roman" w:hAnsi="Times New Roman" w:cs="Times New Roman"/>
          <w:i/>
          <w:lang w:val="de-DE"/>
        </w:rPr>
        <w:t>. April 2026</w:t>
      </w:r>
    </w:p>
    <w:p w14:paraId="59039758" w14:textId="77777777" w:rsidR="005B5EAD" w:rsidRPr="005D1555" w:rsidRDefault="004F25A3" w:rsidP="005D1555">
      <w:pPr>
        <w:pStyle w:val="berschrift1"/>
        <w:jc w:val="both"/>
        <w:rPr>
          <w:rFonts w:ascii="Times New Roman" w:hAnsi="Times New Roman" w:cs="Times New Roman"/>
          <w:color w:val="auto"/>
          <w:sz w:val="22"/>
          <w:szCs w:val="22"/>
          <w:lang w:val="de-DE"/>
        </w:rPr>
      </w:pPr>
      <w:r w:rsidRPr="005D1555">
        <w:rPr>
          <w:rFonts w:ascii="Times New Roman" w:hAnsi="Times New Roman" w:cs="Times New Roman"/>
          <w:color w:val="auto"/>
          <w:sz w:val="22"/>
          <w:szCs w:val="22"/>
          <w:lang w:val="de-DE"/>
        </w:rPr>
        <w:t>Pressemeldung</w:t>
      </w:r>
    </w:p>
    <w:p w14:paraId="79D1DE10" w14:textId="30E30C45" w:rsidR="005B5EAD" w:rsidRPr="005D1555" w:rsidRDefault="008A1EA9" w:rsidP="005D1555">
      <w:pPr>
        <w:jc w:val="both"/>
        <w:rPr>
          <w:rFonts w:ascii="Times New Roman" w:hAnsi="Times New Roman" w:cs="Times New Roman"/>
          <w:lang w:val="de-DE"/>
        </w:rPr>
      </w:pPr>
      <w:r w:rsidRPr="008A1EA9">
        <w:rPr>
          <w:rFonts w:ascii="Times New Roman" w:hAnsi="Times New Roman" w:cs="Times New Roman"/>
          <w:lang w:val="de-DE"/>
        </w:rPr>
        <w:t xml:space="preserve">Die Arbeitsgruppe Neue Therapieansätze, Monitoring und der Vorstand des Deutschen Netzwerks Gedächtnisambulanzen </w:t>
      </w:r>
      <w:r w:rsidR="006734F9">
        <w:rPr>
          <w:rFonts w:ascii="Times New Roman" w:hAnsi="Times New Roman" w:cs="Times New Roman"/>
          <w:lang w:val="de-DE"/>
        </w:rPr>
        <w:t xml:space="preserve">(DNG) </w:t>
      </w:r>
      <w:r w:rsidRPr="008A1EA9">
        <w:rPr>
          <w:rFonts w:ascii="Times New Roman" w:hAnsi="Times New Roman" w:cs="Times New Roman"/>
          <w:lang w:val="de-DE"/>
        </w:rPr>
        <w:t xml:space="preserve">nehmen den Beschluss des G-BA zu </w:t>
      </w:r>
      <w:proofErr w:type="spellStart"/>
      <w:r w:rsidRPr="008A1EA9">
        <w:rPr>
          <w:rFonts w:ascii="Times New Roman" w:hAnsi="Times New Roman" w:cs="Times New Roman"/>
          <w:lang w:val="de-DE"/>
        </w:rPr>
        <w:t>Donanemab</w:t>
      </w:r>
      <w:proofErr w:type="spellEnd"/>
      <w:r w:rsidRPr="008A1EA9">
        <w:rPr>
          <w:rFonts w:ascii="Times New Roman" w:hAnsi="Times New Roman" w:cs="Times New Roman"/>
          <w:lang w:val="de-DE"/>
        </w:rPr>
        <w:t xml:space="preserve"> (</w:t>
      </w:r>
      <w:proofErr w:type="spellStart"/>
      <w:r w:rsidRPr="008A1EA9">
        <w:rPr>
          <w:rFonts w:ascii="Times New Roman" w:hAnsi="Times New Roman" w:cs="Times New Roman"/>
          <w:lang w:val="de-DE"/>
        </w:rPr>
        <w:t>Kisunla</w:t>
      </w:r>
      <w:proofErr w:type="spellEnd"/>
      <w:r w:rsidRPr="008A1EA9">
        <w:rPr>
          <w:rFonts w:ascii="Times New Roman" w:hAnsi="Times New Roman" w:cs="Times New Roman"/>
          <w:lang w:val="de-DE"/>
        </w:rPr>
        <w:t xml:space="preserve">) sowie das neue Cochrane-Review zu </w:t>
      </w:r>
      <w:r w:rsidR="006734F9">
        <w:rPr>
          <w:rFonts w:ascii="Times New Roman" w:hAnsi="Times New Roman" w:cs="Times New Roman"/>
          <w:lang w:val="de-DE"/>
        </w:rPr>
        <w:t>anti-A</w:t>
      </w:r>
      <w:r w:rsidRPr="008A1EA9">
        <w:rPr>
          <w:rFonts w:ascii="Times New Roman" w:hAnsi="Times New Roman" w:cs="Times New Roman"/>
          <w:lang w:val="de-DE"/>
        </w:rPr>
        <w:t xml:space="preserve">myloid Antikörpern mit großer Aufmerksamkeit zur Kenntnis. </w:t>
      </w:r>
      <w:r w:rsidR="004F25A3" w:rsidRPr="005D1555">
        <w:rPr>
          <w:rFonts w:ascii="Times New Roman" w:hAnsi="Times New Roman" w:cs="Times New Roman"/>
          <w:lang w:val="de-DE"/>
        </w:rPr>
        <w:t xml:space="preserve">Beide Veröffentlichungen betreffen eine zentrale Frage der aktuellen </w:t>
      </w:r>
      <w:r w:rsidR="005D1555">
        <w:rPr>
          <w:rFonts w:ascii="Times New Roman" w:hAnsi="Times New Roman" w:cs="Times New Roman"/>
          <w:lang w:val="de-DE"/>
        </w:rPr>
        <w:t>Alzheimer-Versorgung</w:t>
      </w:r>
      <w:r w:rsidR="004F25A3" w:rsidRPr="005D1555">
        <w:rPr>
          <w:rFonts w:ascii="Times New Roman" w:hAnsi="Times New Roman" w:cs="Times New Roman"/>
          <w:lang w:val="de-DE"/>
        </w:rPr>
        <w:t xml:space="preserve">: Wie sind Nutzen, Risiken und praktische Umsetzbarkeit </w:t>
      </w:r>
      <w:r w:rsidR="005D1555">
        <w:rPr>
          <w:rFonts w:ascii="Times New Roman" w:hAnsi="Times New Roman" w:cs="Times New Roman"/>
          <w:lang w:val="de-DE"/>
        </w:rPr>
        <w:t xml:space="preserve">potenziell </w:t>
      </w:r>
      <w:r w:rsidR="004F25A3" w:rsidRPr="005D1555">
        <w:rPr>
          <w:rFonts w:ascii="Times New Roman" w:hAnsi="Times New Roman" w:cs="Times New Roman"/>
          <w:lang w:val="de-DE"/>
        </w:rPr>
        <w:t>krankheitsmodifizierender Therapien bei der frühen Alzheimer-</w:t>
      </w:r>
      <w:r w:rsidR="006734F9">
        <w:rPr>
          <w:rFonts w:ascii="Times New Roman" w:hAnsi="Times New Roman" w:cs="Times New Roman"/>
          <w:lang w:val="de-DE"/>
        </w:rPr>
        <w:t>Krankheit</w:t>
      </w:r>
      <w:r w:rsidR="004F25A3" w:rsidRPr="005D1555">
        <w:rPr>
          <w:rFonts w:ascii="Times New Roman" w:hAnsi="Times New Roman" w:cs="Times New Roman"/>
          <w:lang w:val="de-DE"/>
        </w:rPr>
        <w:t xml:space="preserve"> </w:t>
      </w:r>
      <w:r w:rsidR="007A65F8">
        <w:rPr>
          <w:rFonts w:ascii="Times New Roman" w:hAnsi="Times New Roman" w:cs="Times New Roman"/>
          <w:lang w:val="de-DE"/>
        </w:rPr>
        <w:t xml:space="preserve">im klinischen Kontext </w:t>
      </w:r>
      <w:r w:rsidR="004F25A3" w:rsidRPr="005D1555">
        <w:rPr>
          <w:rFonts w:ascii="Times New Roman" w:hAnsi="Times New Roman" w:cs="Times New Roman"/>
          <w:lang w:val="de-DE"/>
        </w:rPr>
        <w:t>zu bewerten?</w:t>
      </w:r>
    </w:p>
    <w:p w14:paraId="0340F684" w14:textId="0BCB5713" w:rsidR="005B5EAD" w:rsidRPr="005D1555" w:rsidRDefault="004F25A3" w:rsidP="005D1555">
      <w:pPr>
        <w:jc w:val="both"/>
        <w:rPr>
          <w:rFonts w:ascii="Times New Roman" w:hAnsi="Times New Roman" w:cs="Times New Roman"/>
          <w:lang w:val="de-DE"/>
        </w:rPr>
      </w:pPr>
      <w:r w:rsidRPr="005D1555">
        <w:rPr>
          <w:rFonts w:ascii="Times New Roman" w:hAnsi="Times New Roman" w:cs="Times New Roman"/>
          <w:lang w:val="de-DE"/>
        </w:rPr>
        <w:t>Aus Sicht de</w:t>
      </w:r>
      <w:r w:rsidR="006734F9">
        <w:rPr>
          <w:rFonts w:ascii="Times New Roman" w:hAnsi="Times New Roman" w:cs="Times New Roman"/>
          <w:lang w:val="de-DE"/>
        </w:rPr>
        <w:t xml:space="preserve">s DNG </w:t>
      </w:r>
      <w:r w:rsidRPr="005D1555">
        <w:rPr>
          <w:rFonts w:ascii="Times New Roman" w:hAnsi="Times New Roman" w:cs="Times New Roman"/>
          <w:lang w:val="de-DE"/>
        </w:rPr>
        <w:t xml:space="preserve">ist dabei festzuhalten, dass der G-BA-Beschluss und das Cochrane-Review unterschiedliche Fragen beantworten. Der G-BA </w:t>
      </w:r>
      <w:r w:rsidR="002D7972">
        <w:rPr>
          <w:rFonts w:ascii="Times New Roman" w:hAnsi="Times New Roman" w:cs="Times New Roman"/>
          <w:lang w:val="de-DE"/>
        </w:rPr>
        <w:t>beurteilt</w:t>
      </w:r>
      <w:r w:rsidRPr="005D1555">
        <w:rPr>
          <w:rFonts w:ascii="Times New Roman" w:hAnsi="Times New Roman" w:cs="Times New Roman"/>
          <w:lang w:val="de-DE"/>
        </w:rPr>
        <w:t xml:space="preserve"> im Rahmen der frühen Nutzenbewertung den Zusatznutzen eines Arzneimittels gegenüber </w:t>
      </w:r>
      <w:r w:rsidR="007A65F8">
        <w:rPr>
          <w:rFonts w:ascii="Times New Roman" w:hAnsi="Times New Roman" w:cs="Times New Roman"/>
          <w:lang w:val="de-DE"/>
        </w:rPr>
        <w:t xml:space="preserve">der </w:t>
      </w:r>
      <w:r w:rsidR="00637436">
        <w:rPr>
          <w:rFonts w:ascii="Times New Roman" w:hAnsi="Times New Roman" w:cs="Times New Roman"/>
          <w:lang w:val="de-DE"/>
        </w:rPr>
        <w:t xml:space="preserve">existierenden </w:t>
      </w:r>
      <w:r w:rsidR="007A65F8">
        <w:rPr>
          <w:rFonts w:ascii="Times New Roman" w:hAnsi="Times New Roman" w:cs="Times New Roman"/>
          <w:lang w:val="de-DE"/>
        </w:rPr>
        <w:t>Praxis einer leitlinien-gerechten</w:t>
      </w:r>
      <w:r w:rsidR="007A65F8" w:rsidRPr="005D1555">
        <w:rPr>
          <w:rFonts w:ascii="Times New Roman" w:hAnsi="Times New Roman" w:cs="Times New Roman"/>
          <w:lang w:val="de-DE"/>
        </w:rPr>
        <w:t xml:space="preserve"> Vergleichstherapie</w:t>
      </w:r>
      <w:r w:rsidR="007A65F8">
        <w:rPr>
          <w:rFonts w:ascii="Times New Roman" w:hAnsi="Times New Roman" w:cs="Times New Roman"/>
          <w:lang w:val="de-DE"/>
        </w:rPr>
        <w:t xml:space="preserve"> </w:t>
      </w:r>
      <w:r w:rsidRPr="005D1555">
        <w:rPr>
          <w:rFonts w:ascii="Times New Roman" w:hAnsi="Times New Roman" w:cs="Times New Roman"/>
          <w:lang w:val="de-DE"/>
        </w:rPr>
        <w:t>im deutschen Versorgungssystem. Cochrane-Review</w:t>
      </w:r>
      <w:r w:rsidR="00F47CBC">
        <w:rPr>
          <w:rFonts w:ascii="Times New Roman" w:hAnsi="Times New Roman" w:cs="Times New Roman"/>
          <w:lang w:val="de-DE"/>
        </w:rPr>
        <w:t>s</w:t>
      </w:r>
      <w:r w:rsidRPr="005D1555">
        <w:rPr>
          <w:rFonts w:ascii="Times New Roman" w:hAnsi="Times New Roman" w:cs="Times New Roman"/>
          <w:lang w:val="de-DE"/>
        </w:rPr>
        <w:t xml:space="preserve"> </w:t>
      </w:r>
      <w:r w:rsidR="00793B47" w:rsidRPr="00793B47">
        <w:rPr>
          <w:rFonts w:ascii="Times New Roman" w:hAnsi="Times New Roman" w:cs="Times New Roman"/>
          <w:lang w:val="de-DE"/>
        </w:rPr>
        <w:t>gelten als Goldstandard für eine fundierte Evidenzsynthese</w:t>
      </w:r>
      <w:r w:rsidR="006734F9">
        <w:rPr>
          <w:rFonts w:ascii="Times New Roman" w:hAnsi="Times New Roman" w:cs="Times New Roman"/>
          <w:lang w:val="de-DE"/>
        </w:rPr>
        <w:t xml:space="preserve">, </w:t>
      </w:r>
      <w:r w:rsidR="00793B47" w:rsidRPr="00793B47">
        <w:rPr>
          <w:rFonts w:ascii="Times New Roman" w:hAnsi="Times New Roman" w:cs="Times New Roman"/>
          <w:lang w:val="de-DE"/>
        </w:rPr>
        <w:t xml:space="preserve">geprägt von strengen, transparenten Kriterien und dem Anspruch, </w:t>
      </w:r>
      <w:r w:rsidR="006F3BF3">
        <w:rPr>
          <w:rFonts w:ascii="Times New Roman" w:hAnsi="Times New Roman" w:cs="Times New Roman"/>
          <w:lang w:val="de-DE"/>
        </w:rPr>
        <w:t>de</w:t>
      </w:r>
      <w:r w:rsidR="006734F9">
        <w:rPr>
          <w:rFonts w:ascii="Times New Roman" w:hAnsi="Times New Roman" w:cs="Times New Roman"/>
          <w:lang w:val="de-DE"/>
        </w:rPr>
        <w:t>r</w:t>
      </w:r>
      <w:r w:rsidR="00793B47">
        <w:rPr>
          <w:rFonts w:ascii="Times New Roman" w:hAnsi="Times New Roman" w:cs="Times New Roman"/>
          <w:lang w:val="de-DE"/>
        </w:rPr>
        <w:t xml:space="preserve"> klinisch tätigen </w:t>
      </w:r>
      <w:r w:rsidR="006734F9">
        <w:rPr>
          <w:rFonts w:ascii="Times New Roman" w:hAnsi="Times New Roman" w:cs="Times New Roman"/>
          <w:lang w:val="de-DE"/>
        </w:rPr>
        <w:t>Ärzteschaft</w:t>
      </w:r>
      <w:r w:rsidR="00793B47">
        <w:rPr>
          <w:rFonts w:ascii="Times New Roman" w:hAnsi="Times New Roman" w:cs="Times New Roman"/>
          <w:lang w:val="de-DE"/>
        </w:rPr>
        <w:t xml:space="preserve"> </w:t>
      </w:r>
      <w:r w:rsidR="006F3BF3">
        <w:rPr>
          <w:rFonts w:ascii="Times New Roman" w:hAnsi="Times New Roman" w:cs="Times New Roman"/>
          <w:lang w:val="de-DE"/>
        </w:rPr>
        <w:t>eine rationale Therapieentscheidung zu ermöglichen</w:t>
      </w:r>
      <w:r w:rsidR="00793B47">
        <w:rPr>
          <w:rFonts w:ascii="Times New Roman" w:hAnsi="Times New Roman" w:cs="Times New Roman"/>
          <w:lang w:val="de-DE"/>
        </w:rPr>
        <w:t xml:space="preserve">. </w:t>
      </w:r>
      <w:r w:rsidR="006F3BF3">
        <w:rPr>
          <w:rFonts w:ascii="Times New Roman" w:hAnsi="Times New Roman" w:cs="Times New Roman"/>
          <w:lang w:val="de-DE"/>
        </w:rPr>
        <w:t>In dieser Analyse wurden</w:t>
      </w:r>
      <w:r w:rsidRPr="005D1555">
        <w:rPr>
          <w:rFonts w:ascii="Times New Roman" w:hAnsi="Times New Roman" w:cs="Times New Roman"/>
          <w:lang w:val="de-DE"/>
        </w:rPr>
        <w:t xml:space="preserve"> randomisierte Studien zu mehreren, biologisch und klinisch nicht </w:t>
      </w:r>
      <w:r w:rsidR="006F3BF3">
        <w:rPr>
          <w:rFonts w:ascii="Times New Roman" w:hAnsi="Times New Roman" w:cs="Times New Roman"/>
          <w:lang w:val="de-DE"/>
        </w:rPr>
        <w:t>vergleichbaren</w:t>
      </w:r>
      <w:r w:rsidR="006F3BF3" w:rsidRPr="005D1555">
        <w:rPr>
          <w:rFonts w:ascii="Times New Roman" w:hAnsi="Times New Roman" w:cs="Times New Roman"/>
          <w:lang w:val="de-DE"/>
        </w:rPr>
        <w:t xml:space="preserve"> </w:t>
      </w:r>
      <w:r w:rsidR="006F3BF3">
        <w:rPr>
          <w:rFonts w:ascii="Times New Roman" w:hAnsi="Times New Roman" w:cs="Times New Roman"/>
          <w:lang w:val="de-DE"/>
        </w:rPr>
        <w:t>Amyloid-</w:t>
      </w:r>
      <w:r w:rsidRPr="005D1555">
        <w:rPr>
          <w:rFonts w:ascii="Times New Roman" w:hAnsi="Times New Roman" w:cs="Times New Roman"/>
          <w:lang w:val="de-DE"/>
        </w:rPr>
        <w:t>Antikörpern</w:t>
      </w:r>
      <w:r w:rsidR="00793B47">
        <w:rPr>
          <w:rFonts w:ascii="Times New Roman" w:hAnsi="Times New Roman" w:cs="Times New Roman"/>
          <w:lang w:val="de-DE"/>
        </w:rPr>
        <w:t xml:space="preserve"> </w:t>
      </w:r>
      <w:r w:rsidR="00FD359B">
        <w:rPr>
          <w:rFonts w:ascii="Times New Roman" w:hAnsi="Times New Roman" w:cs="Times New Roman"/>
          <w:lang w:val="de-DE"/>
        </w:rPr>
        <w:t>zusammengefasst</w:t>
      </w:r>
      <w:r w:rsidRPr="005D1555">
        <w:rPr>
          <w:rFonts w:ascii="Times New Roman" w:hAnsi="Times New Roman" w:cs="Times New Roman"/>
          <w:lang w:val="de-DE"/>
        </w:rPr>
        <w:t xml:space="preserve">. </w:t>
      </w:r>
      <w:r w:rsidR="006F3BF3">
        <w:rPr>
          <w:rFonts w:ascii="Times New Roman" w:hAnsi="Times New Roman" w:cs="Times New Roman"/>
          <w:lang w:val="de-DE"/>
        </w:rPr>
        <w:t>Der G-BA Beschluss wie die Cochrane Meta-Analyse</w:t>
      </w:r>
      <w:r w:rsidRPr="005D1555">
        <w:rPr>
          <w:rFonts w:ascii="Times New Roman" w:hAnsi="Times New Roman" w:cs="Times New Roman"/>
          <w:lang w:val="de-DE"/>
        </w:rPr>
        <w:t xml:space="preserve"> sind wichtige Beiträge zur Einordnung der Evidenz. Beides rechtfertigt </w:t>
      </w:r>
      <w:r w:rsidR="00A53509">
        <w:rPr>
          <w:rFonts w:ascii="Times New Roman" w:hAnsi="Times New Roman" w:cs="Times New Roman"/>
          <w:lang w:val="de-DE"/>
        </w:rPr>
        <w:t xml:space="preserve">jedoch </w:t>
      </w:r>
      <w:r w:rsidRPr="005D1555">
        <w:rPr>
          <w:rFonts w:ascii="Times New Roman" w:hAnsi="Times New Roman" w:cs="Times New Roman"/>
          <w:lang w:val="de-DE"/>
        </w:rPr>
        <w:t xml:space="preserve">nach Auffassung </w:t>
      </w:r>
      <w:r w:rsidR="00A53509">
        <w:rPr>
          <w:rFonts w:ascii="Times New Roman" w:hAnsi="Times New Roman" w:cs="Times New Roman"/>
          <w:lang w:val="de-DE"/>
        </w:rPr>
        <w:t>des DNG nicht die</w:t>
      </w:r>
      <w:r w:rsidRPr="005D1555">
        <w:rPr>
          <w:rFonts w:ascii="Times New Roman" w:hAnsi="Times New Roman" w:cs="Times New Roman"/>
          <w:lang w:val="de-DE"/>
        </w:rPr>
        <w:t xml:space="preserve"> pauschale Schlussfolgerung, dass </w:t>
      </w:r>
      <w:r w:rsidR="00A53509">
        <w:rPr>
          <w:rFonts w:ascii="Times New Roman" w:hAnsi="Times New Roman" w:cs="Times New Roman"/>
          <w:lang w:val="de-DE"/>
        </w:rPr>
        <w:t xml:space="preserve">gegen </w:t>
      </w:r>
      <w:r w:rsidR="006F3BF3">
        <w:rPr>
          <w:rFonts w:ascii="Times New Roman" w:hAnsi="Times New Roman" w:cs="Times New Roman"/>
          <w:lang w:val="de-DE"/>
        </w:rPr>
        <w:t>A</w:t>
      </w:r>
      <w:r w:rsidRPr="005D1555">
        <w:rPr>
          <w:rFonts w:ascii="Times New Roman" w:hAnsi="Times New Roman" w:cs="Times New Roman"/>
          <w:lang w:val="de-DE"/>
        </w:rPr>
        <w:t>myloid gerichtete Antikörper insgesamt keine</w:t>
      </w:r>
      <w:r w:rsidR="00A53509">
        <w:rPr>
          <w:rFonts w:ascii="Times New Roman" w:hAnsi="Times New Roman" w:cs="Times New Roman"/>
          <w:lang w:val="de-DE"/>
        </w:rPr>
        <w:t xml:space="preserve"> Bedeutung</w:t>
      </w:r>
      <w:r w:rsidRPr="005D1555">
        <w:rPr>
          <w:rFonts w:ascii="Times New Roman" w:hAnsi="Times New Roman" w:cs="Times New Roman"/>
          <w:lang w:val="de-DE"/>
        </w:rPr>
        <w:t xml:space="preserve"> in </w:t>
      </w:r>
      <w:r w:rsidR="00A53509">
        <w:rPr>
          <w:rFonts w:ascii="Times New Roman" w:hAnsi="Times New Roman" w:cs="Times New Roman"/>
          <w:lang w:val="de-DE"/>
        </w:rPr>
        <w:t>der</w:t>
      </w:r>
      <w:r w:rsidRPr="005D1555">
        <w:rPr>
          <w:rFonts w:ascii="Times New Roman" w:hAnsi="Times New Roman" w:cs="Times New Roman"/>
          <w:lang w:val="de-DE"/>
        </w:rPr>
        <w:t xml:space="preserve"> Therapie der frühen Alzheimer-</w:t>
      </w:r>
      <w:r w:rsidR="006734F9">
        <w:rPr>
          <w:rFonts w:ascii="Times New Roman" w:hAnsi="Times New Roman" w:cs="Times New Roman"/>
          <w:lang w:val="de-DE"/>
        </w:rPr>
        <w:t>Krankheit</w:t>
      </w:r>
      <w:r w:rsidRPr="005D1555">
        <w:rPr>
          <w:rFonts w:ascii="Times New Roman" w:hAnsi="Times New Roman" w:cs="Times New Roman"/>
          <w:lang w:val="de-DE"/>
        </w:rPr>
        <w:t xml:space="preserve"> hätten.</w:t>
      </w:r>
    </w:p>
    <w:p w14:paraId="6E3DCC3D" w14:textId="77777777" w:rsidR="005B5EAD" w:rsidRPr="005D1555" w:rsidRDefault="004F25A3" w:rsidP="005D1555">
      <w:pPr>
        <w:pStyle w:val="berschrift2"/>
        <w:jc w:val="both"/>
        <w:rPr>
          <w:rFonts w:ascii="Times New Roman" w:hAnsi="Times New Roman" w:cs="Times New Roman"/>
          <w:color w:val="auto"/>
          <w:sz w:val="22"/>
          <w:szCs w:val="22"/>
          <w:lang w:val="de-DE"/>
        </w:rPr>
      </w:pPr>
      <w:r w:rsidRPr="005D1555">
        <w:rPr>
          <w:rFonts w:ascii="Times New Roman" w:hAnsi="Times New Roman" w:cs="Times New Roman"/>
          <w:color w:val="auto"/>
          <w:sz w:val="22"/>
          <w:szCs w:val="22"/>
          <w:lang w:val="de-DE"/>
        </w:rPr>
        <w:t xml:space="preserve">1. Zum G-BA-Beschluss zu </w:t>
      </w:r>
      <w:proofErr w:type="spellStart"/>
      <w:r w:rsidRPr="005D1555">
        <w:rPr>
          <w:rFonts w:ascii="Times New Roman" w:hAnsi="Times New Roman" w:cs="Times New Roman"/>
          <w:color w:val="auto"/>
          <w:sz w:val="22"/>
          <w:szCs w:val="22"/>
          <w:lang w:val="de-DE"/>
        </w:rPr>
        <w:t>Donanemab</w:t>
      </w:r>
      <w:proofErr w:type="spellEnd"/>
      <w:r w:rsidRPr="005D1555">
        <w:rPr>
          <w:rFonts w:ascii="Times New Roman" w:hAnsi="Times New Roman" w:cs="Times New Roman"/>
          <w:color w:val="auto"/>
          <w:sz w:val="22"/>
          <w:szCs w:val="22"/>
          <w:lang w:val="de-DE"/>
        </w:rPr>
        <w:t xml:space="preserve"> (</w:t>
      </w:r>
      <w:proofErr w:type="spellStart"/>
      <w:r w:rsidRPr="005D1555">
        <w:rPr>
          <w:rFonts w:ascii="Times New Roman" w:hAnsi="Times New Roman" w:cs="Times New Roman"/>
          <w:color w:val="auto"/>
          <w:sz w:val="22"/>
          <w:szCs w:val="22"/>
          <w:lang w:val="de-DE"/>
        </w:rPr>
        <w:t>Kisunla</w:t>
      </w:r>
      <w:proofErr w:type="spellEnd"/>
      <w:r w:rsidRPr="005D1555">
        <w:rPr>
          <w:rFonts w:ascii="Times New Roman" w:hAnsi="Times New Roman" w:cs="Times New Roman"/>
          <w:color w:val="auto"/>
          <w:sz w:val="22"/>
          <w:szCs w:val="22"/>
          <w:lang w:val="de-DE"/>
        </w:rPr>
        <w:t>)</w:t>
      </w:r>
    </w:p>
    <w:p w14:paraId="53D13965" w14:textId="349E9209" w:rsidR="005B5EAD" w:rsidRPr="005D1555" w:rsidRDefault="004F25A3" w:rsidP="005D1555">
      <w:pPr>
        <w:jc w:val="both"/>
        <w:rPr>
          <w:rFonts w:ascii="Times New Roman" w:hAnsi="Times New Roman" w:cs="Times New Roman"/>
          <w:lang w:val="de-DE"/>
        </w:rPr>
      </w:pPr>
      <w:r w:rsidRPr="005D1555">
        <w:rPr>
          <w:rFonts w:ascii="Times New Roman" w:hAnsi="Times New Roman" w:cs="Times New Roman"/>
          <w:lang w:val="de-DE"/>
        </w:rPr>
        <w:t xml:space="preserve">Der G-BA hat am 16. April 2026 </w:t>
      </w:r>
      <w:r w:rsidR="006F3BF3">
        <w:rPr>
          <w:rFonts w:ascii="Times New Roman" w:hAnsi="Times New Roman" w:cs="Times New Roman"/>
          <w:lang w:val="de-DE"/>
        </w:rPr>
        <w:t>entschieden</w:t>
      </w:r>
      <w:r w:rsidRPr="005D1555">
        <w:rPr>
          <w:rFonts w:ascii="Times New Roman" w:hAnsi="Times New Roman" w:cs="Times New Roman"/>
          <w:lang w:val="de-DE"/>
        </w:rPr>
        <w:t xml:space="preserve">, dass für </w:t>
      </w:r>
      <w:proofErr w:type="spellStart"/>
      <w:r w:rsidRPr="005D1555">
        <w:rPr>
          <w:rFonts w:ascii="Times New Roman" w:hAnsi="Times New Roman" w:cs="Times New Roman"/>
          <w:lang w:val="de-DE"/>
        </w:rPr>
        <w:t>Donanemab</w:t>
      </w:r>
      <w:proofErr w:type="spellEnd"/>
      <w:r w:rsidRPr="005D1555">
        <w:rPr>
          <w:rFonts w:ascii="Times New Roman" w:hAnsi="Times New Roman" w:cs="Times New Roman"/>
          <w:lang w:val="de-DE"/>
        </w:rPr>
        <w:t xml:space="preserve"> bei früher Alzheimer-Krankheit ein Zusatznutzen gegenüber der jeweils festgelegten zweckmäßigen Vergleichstherapie nicht belegt ist. Zugleich stellt der G-BA selbst ausdrücklich klar, dass diese frühe Nutzenbewertung von der arzneimittelrechtlichen Zulassung zu unterscheiden ist und mit dem Beschluss keine weitergehende Einschränkung der Verordnungsfähigkeit von </w:t>
      </w:r>
      <w:proofErr w:type="spellStart"/>
      <w:r w:rsidRPr="005D1555">
        <w:rPr>
          <w:rFonts w:ascii="Times New Roman" w:hAnsi="Times New Roman" w:cs="Times New Roman"/>
          <w:lang w:val="de-DE"/>
        </w:rPr>
        <w:t>Donanemab</w:t>
      </w:r>
      <w:proofErr w:type="spellEnd"/>
      <w:r w:rsidRPr="005D1555">
        <w:rPr>
          <w:rFonts w:ascii="Times New Roman" w:hAnsi="Times New Roman" w:cs="Times New Roman"/>
          <w:lang w:val="de-DE"/>
        </w:rPr>
        <w:t xml:space="preserve"> verbunden ist.</w:t>
      </w:r>
    </w:p>
    <w:p w14:paraId="77C5CA99" w14:textId="0CA7835B" w:rsidR="00237690" w:rsidRPr="00237690" w:rsidRDefault="004F25A3" w:rsidP="00237690">
      <w:pPr>
        <w:jc w:val="both"/>
        <w:rPr>
          <w:rFonts w:ascii="Times New Roman" w:hAnsi="Times New Roman" w:cs="Times New Roman"/>
          <w:lang w:val="de-DE"/>
        </w:rPr>
      </w:pPr>
      <w:r w:rsidRPr="005D1555">
        <w:rPr>
          <w:rFonts w:ascii="Times New Roman" w:hAnsi="Times New Roman" w:cs="Times New Roman"/>
          <w:lang w:val="de-DE"/>
        </w:rPr>
        <w:t xml:space="preserve">Für die Gruppe der Patientinnen und Patienten mit leichter kognitiver Störung </w:t>
      </w:r>
      <w:r w:rsidR="005D1555">
        <w:rPr>
          <w:rFonts w:ascii="Times New Roman" w:hAnsi="Times New Roman" w:cs="Times New Roman"/>
          <w:lang w:val="de-DE"/>
        </w:rPr>
        <w:t>bei</w:t>
      </w:r>
      <w:r w:rsidRPr="005D1555">
        <w:rPr>
          <w:rFonts w:ascii="Times New Roman" w:hAnsi="Times New Roman" w:cs="Times New Roman"/>
          <w:lang w:val="de-DE"/>
        </w:rPr>
        <w:t xml:space="preserve"> Alzheimer-Krankheit lagen nach Auffassung des G-BA keine geeigneten Daten vor, um den Zusatznutzen beurteilen zu können. Für die Gruppe der Patientinnen und Patienten mit leicht</w:t>
      </w:r>
      <w:r w:rsidR="001914E1">
        <w:rPr>
          <w:rFonts w:ascii="Times New Roman" w:hAnsi="Times New Roman" w:cs="Times New Roman"/>
          <w:lang w:val="de-DE"/>
        </w:rPr>
        <w:t>gradiger</w:t>
      </w:r>
      <w:r w:rsidRPr="005D1555">
        <w:rPr>
          <w:rFonts w:ascii="Times New Roman" w:hAnsi="Times New Roman" w:cs="Times New Roman"/>
          <w:lang w:val="de-DE"/>
        </w:rPr>
        <w:t xml:space="preserve"> Alzheimer-Demenz ergab sich auf Grundlage der herangezogenen Daten kein belegter Vorteil gegenüber Acetylcholinesterase-Hemmern</w:t>
      </w:r>
      <w:r w:rsidR="001914E1">
        <w:rPr>
          <w:rFonts w:ascii="Times New Roman" w:hAnsi="Times New Roman" w:cs="Times New Roman"/>
          <w:lang w:val="de-DE"/>
        </w:rPr>
        <w:t xml:space="preserve"> (</w:t>
      </w:r>
      <w:proofErr w:type="spellStart"/>
      <w:r w:rsidR="001914E1" w:rsidRPr="00237690">
        <w:rPr>
          <w:rFonts w:ascii="Times New Roman" w:hAnsi="Times New Roman" w:cs="Times New Roman"/>
          <w:lang w:val="de-DE"/>
        </w:rPr>
        <w:t>AChEI</w:t>
      </w:r>
      <w:proofErr w:type="spellEnd"/>
      <w:r w:rsidR="001914E1">
        <w:rPr>
          <w:rFonts w:ascii="Times New Roman" w:hAnsi="Times New Roman" w:cs="Times New Roman"/>
          <w:lang w:val="de-DE"/>
        </w:rPr>
        <w:t>)</w:t>
      </w:r>
      <w:r w:rsidRPr="005D1555">
        <w:rPr>
          <w:rFonts w:ascii="Times New Roman" w:hAnsi="Times New Roman" w:cs="Times New Roman"/>
          <w:lang w:val="de-DE"/>
        </w:rPr>
        <w:t xml:space="preserve">. Diese Aussage ist präzise zu lesen: Sie bedeutet nicht, dass </w:t>
      </w:r>
      <w:proofErr w:type="spellStart"/>
      <w:r w:rsidRPr="005D1555">
        <w:rPr>
          <w:rFonts w:ascii="Times New Roman" w:hAnsi="Times New Roman" w:cs="Times New Roman"/>
          <w:lang w:val="de-DE"/>
        </w:rPr>
        <w:t>Donanemab</w:t>
      </w:r>
      <w:proofErr w:type="spellEnd"/>
      <w:r w:rsidRPr="005D1555">
        <w:rPr>
          <w:rFonts w:ascii="Times New Roman" w:hAnsi="Times New Roman" w:cs="Times New Roman"/>
          <w:lang w:val="de-DE"/>
        </w:rPr>
        <w:t xml:space="preserve"> unwirksam wäre, sondern dass im spezifischen </w:t>
      </w:r>
      <w:r w:rsidR="006F3BF3">
        <w:rPr>
          <w:rFonts w:ascii="Times New Roman" w:hAnsi="Times New Roman" w:cs="Times New Roman"/>
          <w:lang w:val="de-DE"/>
        </w:rPr>
        <w:t>deutschen Versorgungskontext</w:t>
      </w:r>
      <w:r w:rsidRPr="005D1555">
        <w:rPr>
          <w:rFonts w:ascii="Times New Roman" w:hAnsi="Times New Roman" w:cs="Times New Roman"/>
          <w:lang w:val="de-DE"/>
        </w:rPr>
        <w:t xml:space="preserve"> ein Zusatznutzen gegenüber den </w:t>
      </w:r>
      <w:r w:rsidR="006F3BF3">
        <w:rPr>
          <w:rFonts w:ascii="Times New Roman" w:hAnsi="Times New Roman" w:cs="Times New Roman"/>
          <w:lang w:val="de-DE"/>
        </w:rPr>
        <w:t>vom G-BA definierten</w:t>
      </w:r>
      <w:r w:rsidR="006F3BF3" w:rsidRPr="005D1555">
        <w:rPr>
          <w:rFonts w:ascii="Times New Roman" w:hAnsi="Times New Roman" w:cs="Times New Roman"/>
          <w:lang w:val="de-DE"/>
        </w:rPr>
        <w:t xml:space="preserve"> </w:t>
      </w:r>
      <w:r w:rsidRPr="005D1555">
        <w:rPr>
          <w:rFonts w:ascii="Times New Roman" w:hAnsi="Times New Roman" w:cs="Times New Roman"/>
          <w:lang w:val="de-DE"/>
        </w:rPr>
        <w:t>Vergleichstherapien nicht belegt werden konnte.</w:t>
      </w:r>
      <w:r w:rsidR="00F47CBC">
        <w:rPr>
          <w:rFonts w:ascii="Times New Roman" w:hAnsi="Times New Roman" w:cs="Times New Roman"/>
          <w:lang w:val="de-DE"/>
        </w:rPr>
        <w:t xml:space="preserve"> </w:t>
      </w:r>
    </w:p>
    <w:p w14:paraId="109A7D60" w14:textId="76250ADC" w:rsidR="00237690" w:rsidRPr="00237690" w:rsidRDefault="00237690" w:rsidP="00237690">
      <w:pPr>
        <w:jc w:val="both"/>
        <w:rPr>
          <w:rFonts w:ascii="Times New Roman" w:hAnsi="Times New Roman" w:cs="Times New Roman"/>
          <w:lang w:val="de-DE"/>
        </w:rPr>
      </w:pPr>
      <w:r w:rsidRPr="00237690">
        <w:rPr>
          <w:rFonts w:ascii="Times New Roman" w:hAnsi="Times New Roman" w:cs="Times New Roman"/>
          <w:lang w:val="de-DE"/>
        </w:rPr>
        <w:lastRenderedPageBreak/>
        <w:t>Für das Verständnis des Beschlusses ist entscheidend, dass der G-BA das zugelassene Anwendungsgebiet</w:t>
      </w:r>
      <w:r w:rsidR="001914E1">
        <w:rPr>
          <w:rFonts w:ascii="Times New Roman" w:hAnsi="Times New Roman" w:cs="Times New Roman"/>
          <w:lang w:val="de-DE"/>
        </w:rPr>
        <w:t>,</w:t>
      </w:r>
      <w:r w:rsidRPr="00237690">
        <w:rPr>
          <w:rFonts w:ascii="Times New Roman" w:hAnsi="Times New Roman" w:cs="Times New Roman"/>
          <w:lang w:val="de-DE"/>
        </w:rPr>
        <w:t xml:space="preserve"> entsprechend der deutschen Versorgungssituation und den unterschiedlichen leitlinienbasierten Vergleichstherapien</w:t>
      </w:r>
      <w:r w:rsidR="001914E1">
        <w:rPr>
          <w:rFonts w:ascii="Times New Roman" w:hAnsi="Times New Roman" w:cs="Times New Roman"/>
          <w:lang w:val="de-DE"/>
        </w:rPr>
        <w:t xml:space="preserve">, </w:t>
      </w:r>
      <w:r w:rsidRPr="00237690">
        <w:rPr>
          <w:rFonts w:ascii="Times New Roman" w:hAnsi="Times New Roman" w:cs="Times New Roman"/>
          <w:lang w:val="de-DE"/>
        </w:rPr>
        <w:t>in zwei klinisch getrennt bewertete Populationen unterteilt hat: leichte kognitive Störung (</w:t>
      </w:r>
      <w:r w:rsidR="001914E1">
        <w:rPr>
          <w:rFonts w:ascii="Times New Roman" w:hAnsi="Times New Roman" w:cs="Times New Roman"/>
          <w:lang w:val="de-DE"/>
        </w:rPr>
        <w:t xml:space="preserve">engl. mild </w:t>
      </w:r>
      <w:proofErr w:type="spellStart"/>
      <w:r w:rsidR="001914E1">
        <w:rPr>
          <w:rFonts w:ascii="Times New Roman" w:hAnsi="Times New Roman" w:cs="Times New Roman"/>
          <w:lang w:val="de-DE"/>
        </w:rPr>
        <w:t>cognitive</w:t>
      </w:r>
      <w:proofErr w:type="spellEnd"/>
      <w:r w:rsidR="001914E1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="001914E1">
        <w:rPr>
          <w:rFonts w:ascii="Times New Roman" w:hAnsi="Times New Roman" w:cs="Times New Roman"/>
          <w:lang w:val="de-DE"/>
        </w:rPr>
        <w:t>impairment</w:t>
      </w:r>
      <w:proofErr w:type="spellEnd"/>
      <w:r w:rsidR="001914E1">
        <w:rPr>
          <w:rFonts w:ascii="Times New Roman" w:hAnsi="Times New Roman" w:cs="Times New Roman"/>
          <w:lang w:val="de-DE"/>
        </w:rPr>
        <w:t xml:space="preserve">, </w:t>
      </w:r>
      <w:r w:rsidRPr="00237690">
        <w:rPr>
          <w:rFonts w:ascii="Times New Roman" w:hAnsi="Times New Roman" w:cs="Times New Roman"/>
          <w:lang w:val="de-DE"/>
        </w:rPr>
        <w:t>MCI) einerseits und leicht</w:t>
      </w:r>
      <w:r w:rsidR="001914E1">
        <w:rPr>
          <w:rFonts w:ascii="Times New Roman" w:hAnsi="Times New Roman" w:cs="Times New Roman"/>
          <w:lang w:val="de-DE"/>
        </w:rPr>
        <w:t>gradige</w:t>
      </w:r>
      <w:r w:rsidRPr="00237690">
        <w:rPr>
          <w:rFonts w:ascii="Times New Roman" w:hAnsi="Times New Roman" w:cs="Times New Roman"/>
          <w:lang w:val="de-DE"/>
        </w:rPr>
        <w:t xml:space="preserve"> Alzheimer-Demenz andererseits. Für MCI wurde „Best Supportive Care“ bzw. beobachtendes Abwarten als Vergleichstherapie angesetzt, für die leicht</w:t>
      </w:r>
      <w:r w:rsidR="001914E1">
        <w:rPr>
          <w:rFonts w:ascii="Times New Roman" w:hAnsi="Times New Roman" w:cs="Times New Roman"/>
          <w:lang w:val="de-DE"/>
        </w:rPr>
        <w:t>gradige</w:t>
      </w:r>
      <w:r w:rsidRPr="00237690">
        <w:rPr>
          <w:rFonts w:ascii="Times New Roman" w:hAnsi="Times New Roman" w:cs="Times New Roman"/>
          <w:lang w:val="de-DE"/>
        </w:rPr>
        <w:t xml:space="preserve"> Alzheimer-Demenz Donepezil, Galantamin oder Rivastigmin.</w:t>
      </w:r>
    </w:p>
    <w:p w14:paraId="56541423" w14:textId="7016A104" w:rsidR="00237690" w:rsidRPr="00237690" w:rsidRDefault="00237690" w:rsidP="00237690">
      <w:pPr>
        <w:jc w:val="both"/>
        <w:rPr>
          <w:rFonts w:ascii="Times New Roman" w:hAnsi="Times New Roman" w:cs="Times New Roman"/>
          <w:lang w:val="de-DE"/>
        </w:rPr>
      </w:pPr>
      <w:r w:rsidRPr="00237690">
        <w:rPr>
          <w:rFonts w:ascii="Times New Roman" w:hAnsi="Times New Roman" w:cs="Times New Roman"/>
          <w:lang w:val="de-DE"/>
        </w:rPr>
        <w:t xml:space="preserve">Das methodische Kernproblem der für </w:t>
      </w:r>
      <w:proofErr w:type="spellStart"/>
      <w:r w:rsidRPr="00237690">
        <w:rPr>
          <w:rFonts w:ascii="Times New Roman" w:hAnsi="Times New Roman" w:cs="Times New Roman"/>
          <w:lang w:val="de-DE"/>
        </w:rPr>
        <w:t>Donanemab</w:t>
      </w:r>
      <w:proofErr w:type="spellEnd"/>
      <w:r w:rsidRPr="00237690">
        <w:rPr>
          <w:rFonts w:ascii="Times New Roman" w:hAnsi="Times New Roman" w:cs="Times New Roman"/>
          <w:lang w:val="de-DE"/>
        </w:rPr>
        <w:t xml:space="preserve"> herangezogenen Studie lag aus Sicht von IQWiG und G-BA jedoch darin, dass in der Studie selbst keine prospektiv dokumentierte, vom Prüfarzt getroffene Zuordnung zu MCI versus leicht</w:t>
      </w:r>
      <w:r w:rsidR="001914E1">
        <w:rPr>
          <w:rFonts w:ascii="Times New Roman" w:hAnsi="Times New Roman" w:cs="Times New Roman"/>
          <w:lang w:val="de-DE"/>
        </w:rPr>
        <w:t>gradiger</w:t>
      </w:r>
      <w:r w:rsidRPr="00237690">
        <w:rPr>
          <w:rFonts w:ascii="Times New Roman" w:hAnsi="Times New Roman" w:cs="Times New Roman"/>
          <w:lang w:val="de-DE"/>
        </w:rPr>
        <w:t xml:space="preserve"> Alzheimer-Demenz vorgesehen war. Im Prüfbogen musste lediglich bestätigt werden, dass eine Alzheimer-Krankheit vorlag. </w:t>
      </w:r>
    </w:p>
    <w:p w14:paraId="6B22D62E" w14:textId="37AF018A" w:rsidR="00237690" w:rsidRPr="00237690" w:rsidRDefault="00237690" w:rsidP="00237690">
      <w:pPr>
        <w:jc w:val="both"/>
        <w:rPr>
          <w:rFonts w:ascii="Times New Roman" w:hAnsi="Times New Roman" w:cs="Times New Roman"/>
          <w:lang w:val="de-DE"/>
        </w:rPr>
      </w:pPr>
      <w:r w:rsidRPr="00237690">
        <w:rPr>
          <w:rFonts w:ascii="Times New Roman" w:hAnsi="Times New Roman" w:cs="Times New Roman"/>
          <w:lang w:val="de-DE"/>
        </w:rPr>
        <w:t xml:space="preserve">Die zunächst vom Hersteller allein anhand der Begleittherapie mit </w:t>
      </w:r>
      <w:proofErr w:type="spellStart"/>
      <w:r w:rsidR="001914E1" w:rsidRPr="00237690">
        <w:rPr>
          <w:rFonts w:ascii="Times New Roman" w:hAnsi="Times New Roman" w:cs="Times New Roman"/>
          <w:lang w:val="de-DE"/>
        </w:rPr>
        <w:t>AChEI</w:t>
      </w:r>
      <w:proofErr w:type="spellEnd"/>
      <w:r w:rsidR="001914E1" w:rsidRPr="00237690">
        <w:rPr>
          <w:rFonts w:ascii="Times New Roman" w:hAnsi="Times New Roman" w:cs="Times New Roman"/>
          <w:lang w:val="de-DE"/>
        </w:rPr>
        <w:t xml:space="preserve"> </w:t>
      </w:r>
      <w:r w:rsidRPr="00237690">
        <w:rPr>
          <w:rFonts w:ascii="Times New Roman" w:hAnsi="Times New Roman" w:cs="Times New Roman"/>
          <w:lang w:val="de-DE"/>
        </w:rPr>
        <w:t xml:space="preserve">gebildeten Teilpopulationen waren nach IQWiG-Auffassung nicht geeignet, die Fragestellungen der Nutzenbewertung zu beantworten. Erst im </w:t>
      </w:r>
      <w:proofErr w:type="spellStart"/>
      <w:r w:rsidRPr="00237690">
        <w:rPr>
          <w:rFonts w:ascii="Times New Roman" w:hAnsi="Times New Roman" w:cs="Times New Roman"/>
          <w:lang w:val="de-DE"/>
        </w:rPr>
        <w:t>Stellungnahmeverfahren</w:t>
      </w:r>
      <w:proofErr w:type="spellEnd"/>
      <w:r w:rsidRPr="00237690">
        <w:rPr>
          <w:rFonts w:ascii="Times New Roman" w:hAnsi="Times New Roman" w:cs="Times New Roman"/>
          <w:lang w:val="de-DE"/>
        </w:rPr>
        <w:t xml:space="preserve"> wurden zusätzliche Differenzierungen unter anderem auf Basis des Clinical Dementia Rating (CDR) und weiterer Kriterien nachgereicht. Für die MCI-Fragestellung bildeten diese Auswertungen die relevante unbehandelte MCI-Population aus Sicht des IQWiG weiterhin nicht ab; für die Fragestellung der leicht</w:t>
      </w:r>
      <w:r w:rsidR="001914E1">
        <w:rPr>
          <w:rFonts w:ascii="Times New Roman" w:hAnsi="Times New Roman" w:cs="Times New Roman"/>
          <w:lang w:val="de-DE"/>
        </w:rPr>
        <w:t>gradigen</w:t>
      </w:r>
      <w:r w:rsidRPr="00237690">
        <w:rPr>
          <w:rFonts w:ascii="Times New Roman" w:hAnsi="Times New Roman" w:cs="Times New Roman"/>
          <w:lang w:val="de-DE"/>
        </w:rPr>
        <w:t xml:space="preserve"> Alzheimer-Demenz wurden bestimmte Populationen mit </w:t>
      </w:r>
      <w:proofErr w:type="spellStart"/>
      <w:r w:rsidRPr="00237690">
        <w:rPr>
          <w:rFonts w:ascii="Times New Roman" w:hAnsi="Times New Roman" w:cs="Times New Roman"/>
          <w:lang w:val="de-DE"/>
        </w:rPr>
        <w:t>AChEI</w:t>
      </w:r>
      <w:proofErr w:type="spellEnd"/>
      <w:r w:rsidRPr="00237690">
        <w:rPr>
          <w:rFonts w:ascii="Times New Roman" w:hAnsi="Times New Roman" w:cs="Times New Roman"/>
          <w:lang w:val="de-DE"/>
        </w:rPr>
        <w:t>-Therapie zwar als hinreichend sichere Annäherung angesehen, ohne dass sich daraus ein belegter Zusatznutzen ergab.</w:t>
      </w:r>
    </w:p>
    <w:p w14:paraId="79A49519" w14:textId="3F37E440" w:rsidR="005B5EAD" w:rsidRPr="001914E1" w:rsidRDefault="00237690" w:rsidP="00237690">
      <w:pPr>
        <w:jc w:val="both"/>
        <w:rPr>
          <w:rFonts w:ascii="Times New Roman" w:hAnsi="Times New Roman" w:cs="Times New Roman"/>
          <w:u w:val="single"/>
          <w:lang w:val="de-DE"/>
        </w:rPr>
      </w:pPr>
      <w:r w:rsidRPr="00237690">
        <w:rPr>
          <w:rFonts w:ascii="Times New Roman" w:hAnsi="Times New Roman" w:cs="Times New Roman"/>
          <w:lang w:val="de-DE"/>
        </w:rPr>
        <w:t>Vor diesem Hintergrund ist der G-BA-Beschluss kein allgemeines Urteil über das Wirkprinzip, sondern das Ergebnis einer nur begrenzten Passung zwischen Studiendesign, nachträglicher Populationszuordnung und den Anforderungen der deutschen frühen Nutzenbewertung.</w:t>
      </w:r>
      <w:r w:rsidR="001914E1">
        <w:rPr>
          <w:rFonts w:ascii="Times New Roman" w:hAnsi="Times New Roman" w:cs="Times New Roman"/>
          <w:lang w:val="de-DE"/>
        </w:rPr>
        <w:t xml:space="preserve"> </w:t>
      </w:r>
      <w:r w:rsidR="004F25A3" w:rsidRPr="005D1555">
        <w:rPr>
          <w:rFonts w:ascii="Times New Roman" w:hAnsi="Times New Roman" w:cs="Times New Roman"/>
          <w:lang w:val="de-DE"/>
        </w:rPr>
        <w:t xml:space="preserve">Gerade in einer frühen, klinisch heterogenen Erkrankungsphase können Studiendesign, Endpunktwahl, Patientenselektion und die nachträgliche Zuordnung von Studienteilnehmerinnen und -teilnehmern zu den in Deutschland getrennt bewerteten Populationen das Ergebnis einer Nutzenbewertung wesentlich beeinflussen. </w:t>
      </w:r>
      <w:r w:rsidR="004F25A3" w:rsidRPr="001914E1">
        <w:rPr>
          <w:rFonts w:ascii="Times New Roman" w:hAnsi="Times New Roman" w:cs="Times New Roman"/>
          <w:u w:val="single"/>
          <w:lang w:val="de-DE"/>
        </w:rPr>
        <w:t xml:space="preserve">Aus Sicht </w:t>
      </w:r>
      <w:r w:rsidR="000A2191" w:rsidRPr="001914E1">
        <w:rPr>
          <w:rFonts w:ascii="Times New Roman" w:hAnsi="Times New Roman" w:cs="Times New Roman"/>
          <w:u w:val="single"/>
          <w:lang w:val="de-DE"/>
        </w:rPr>
        <w:t>des DNG</w:t>
      </w:r>
      <w:r w:rsidR="005F1362" w:rsidRPr="001914E1">
        <w:rPr>
          <w:rFonts w:ascii="Times New Roman" w:hAnsi="Times New Roman" w:cs="Times New Roman"/>
          <w:u w:val="single"/>
          <w:lang w:val="de-DE"/>
        </w:rPr>
        <w:t xml:space="preserve"> </w:t>
      </w:r>
      <w:r w:rsidR="000A2191" w:rsidRPr="001914E1">
        <w:rPr>
          <w:rFonts w:ascii="Times New Roman" w:hAnsi="Times New Roman" w:cs="Times New Roman"/>
          <w:u w:val="single"/>
          <w:lang w:val="de-DE"/>
        </w:rPr>
        <w:t xml:space="preserve">ist es wichtig zu betonen, dass </w:t>
      </w:r>
      <w:r w:rsidR="004F25A3" w:rsidRPr="001914E1">
        <w:rPr>
          <w:rFonts w:ascii="Times New Roman" w:hAnsi="Times New Roman" w:cs="Times New Roman"/>
          <w:u w:val="single"/>
          <w:lang w:val="de-DE"/>
        </w:rPr>
        <w:t xml:space="preserve">der G-BA-Beschluss nicht mit einer grundsätzlichen Verneinung klinisch relevanter Effekte </w:t>
      </w:r>
      <w:r w:rsidR="000A2191" w:rsidRPr="001914E1">
        <w:rPr>
          <w:rFonts w:ascii="Times New Roman" w:hAnsi="Times New Roman" w:cs="Times New Roman"/>
          <w:u w:val="single"/>
          <w:lang w:val="de-DE"/>
        </w:rPr>
        <w:t xml:space="preserve">von </w:t>
      </w:r>
      <w:r w:rsidR="001914E1" w:rsidRPr="001914E1">
        <w:rPr>
          <w:rFonts w:ascii="Times New Roman" w:hAnsi="Times New Roman" w:cs="Times New Roman"/>
          <w:u w:val="single"/>
          <w:lang w:val="de-DE"/>
        </w:rPr>
        <w:t>anti-</w:t>
      </w:r>
      <w:r w:rsidR="000A2191" w:rsidRPr="001914E1">
        <w:rPr>
          <w:rFonts w:ascii="Times New Roman" w:hAnsi="Times New Roman" w:cs="Times New Roman"/>
          <w:u w:val="single"/>
          <w:lang w:val="de-DE"/>
        </w:rPr>
        <w:t>Amyloid Antikörpern</w:t>
      </w:r>
      <w:r w:rsidR="004F25A3" w:rsidRPr="001914E1">
        <w:rPr>
          <w:rFonts w:ascii="Times New Roman" w:hAnsi="Times New Roman" w:cs="Times New Roman"/>
          <w:u w:val="single"/>
          <w:lang w:val="de-DE"/>
        </w:rPr>
        <w:t xml:space="preserve"> gleichgesetzt werden</w:t>
      </w:r>
      <w:r w:rsidR="000A2191" w:rsidRPr="001914E1">
        <w:rPr>
          <w:rFonts w:ascii="Times New Roman" w:hAnsi="Times New Roman" w:cs="Times New Roman"/>
          <w:u w:val="single"/>
          <w:lang w:val="de-DE"/>
        </w:rPr>
        <w:t xml:space="preserve"> darf</w:t>
      </w:r>
      <w:r w:rsidR="004F25A3" w:rsidRPr="001914E1">
        <w:rPr>
          <w:rFonts w:ascii="Times New Roman" w:hAnsi="Times New Roman" w:cs="Times New Roman"/>
          <w:u w:val="single"/>
          <w:lang w:val="de-DE"/>
        </w:rPr>
        <w:t>.</w:t>
      </w:r>
    </w:p>
    <w:p w14:paraId="39F8E66E" w14:textId="0D29CA7F" w:rsidR="005B5EAD" w:rsidRPr="005D1555" w:rsidRDefault="004F25A3" w:rsidP="005D1555">
      <w:pPr>
        <w:pStyle w:val="berschrift2"/>
        <w:jc w:val="both"/>
        <w:rPr>
          <w:rFonts w:ascii="Times New Roman" w:hAnsi="Times New Roman" w:cs="Times New Roman"/>
          <w:color w:val="auto"/>
          <w:sz w:val="22"/>
          <w:szCs w:val="22"/>
          <w:lang w:val="de-DE"/>
        </w:rPr>
      </w:pPr>
      <w:r w:rsidRPr="005D1555">
        <w:rPr>
          <w:rFonts w:ascii="Times New Roman" w:hAnsi="Times New Roman" w:cs="Times New Roman"/>
          <w:color w:val="auto"/>
          <w:sz w:val="22"/>
          <w:szCs w:val="22"/>
          <w:lang w:val="de-DE"/>
        </w:rPr>
        <w:t>2. Zum Cochrane-Review zu anti-</w:t>
      </w:r>
      <w:r w:rsidR="00F47CBC">
        <w:rPr>
          <w:rFonts w:ascii="Times New Roman" w:hAnsi="Times New Roman" w:cs="Times New Roman"/>
          <w:color w:val="auto"/>
          <w:sz w:val="22"/>
          <w:szCs w:val="22"/>
          <w:lang w:val="de-DE"/>
        </w:rPr>
        <w:t>A</w:t>
      </w:r>
      <w:r w:rsidRPr="005D1555">
        <w:rPr>
          <w:rFonts w:ascii="Times New Roman" w:hAnsi="Times New Roman" w:cs="Times New Roman"/>
          <w:color w:val="auto"/>
          <w:sz w:val="22"/>
          <w:szCs w:val="22"/>
          <w:lang w:val="de-DE"/>
        </w:rPr>
        <w:t>myloid Antikörpern</w:t>
      </w:r>
    </w:p>
    <w:p w14:paraId="2DDA5619" w14:textId="174A20EA" w:rsidR="005B5EAD" w:rsidRPr="005D1555" w:rsidRDefault="004F25A3" w:rsidP="005D1555">
      <w:pPr>
        <w:jc w:val="both"/>
        <w:rPr>
          <w:rFonts w:ascii="Times New Roman" w:hAnsi="Times New Roman" w:cs="Times New Roman"/>
          <w:lang w:val="de-DE"/>
        </w:rPr>
      </w:pPr>
      <w:r w:rsidRPr="005D1555">
        <w:rPr>
          <w:rFonts w:ascii="Times New Roman" w:hAnsi="Times New Roman" w:cs="Times New Roman"/>
          <w:lang w:val="de-DE"/>
        </w:rPr>
        <w:t xml:space="preserve">Das Cochrane-Review analysiert 17 randomisierte Studien mit insgesamt 20342 Teilnehmenden und fasst sieben verschiedene </w:t>
      </w:r>
      <w:r w:rsidR="000A2191">
        <w:rPr>
          <w:rFonts w:ascii="Times New Roman" w:hAnsi="Times New Roman" w:cs="Times New Roman"/>
          <w:lang w:val="de-DE"/>
        </w:rPr>
        <w:t xml:space="preserve">gegen </w:t>
      </w:r>
      <w:r w:rsidR="005F1362">
        <w:rPr>
          <w:rFonts w:ascii="Times New Roman" w:hAnsi="Times New Roman" w:cs="Times New Roman"/>
          <w:lang w:val="de-DE"/>
        </w:rPr>
        <w:t>A</w:t>
      </w:r>
      <w:r w:rsidRPr="005D1555">
        <w:rPr>
          <w:rFonts w:ascii="Times New Roman" w:hAnsi="Times New Roman" w:cs="Times New Roman"/>
          <w:lang w:val="de-DE"/>
        </w:rPr>
        <w:t xml:space="preserve">myloid gerichtete Antikörper zusammen. Die Autoren kommen zu dem Ergebnis, dass </w:t>
      </w:r>
      <w:r w:rsidR="003E3C79">
        <w:rPr>
          <w:rFonts w:ascii="Times New Roman" w:hAnsi="Times New Roman" w:cs="Times New Roman"/>
          <w:lang w:val="de-DE"/>
        </w:rPr>
        <w:t xml:space="preserve">in der Summe </w:t>
      </w:r>
      <w:r w:rsidRPr="005D1555">
        <w:rPr>
          <w:rFonts w:ascii="Times New Roman" w:hAnsi="Times New Roman" w:cs="Times New Roman"/>
          <w:lang w:val="de-DE"/>
        </w:rPr>
        <w:t xml:space="preserve">die Effekte dieser Antikörper auf Kognition und </w:t>
      </w:r>
      <w:r w:rsidR="000A2191">
        <w:rPr>
          <w:rFonts w:ascii="Times New Roman" w:hAnsi="Times New Roman" w:cs="Times New Roman"/>
          <w:lang w:val="de-DE"/>
        </w:rPr>
        <w:t xml:space="preserve">Schwere der </w:t>
      </w:r>
      <w:r w:rsidRPr="005D1555">
        <w:rPr>
          <w:rFonts w:ascii="Times New Roman" w:hAnsi="Times New Roman" w:cs="Times New Roman"/>
          <w:lang w:val="de-DE"/>
        </w:rPr>
        <w:t xml:space="preserve">Demenz nach 18 Monaten im Mittel </w:t>
      </w:r>
      <w:r w:rsidR="000A2191">
        <w:rPr>
          <w:rFonts w:ascii="Times New Roman" w:hAnsi="Times New Roman" w:cs="Times New Roman"/>
          <w:lang w:val="de-DE"/>
        </w:rPr>
        <w:t>nicht bedeutsam</w:t>
      </w:r>
      <w:r w:rsidRPr="005D1555">
        <w:rPr>
          <w:rFonts w:ascii="Times New Roman" w:hAnsi="Times New Roman" w:cs="Times New Roman"/>
          <w:lang w:val="de-DE"/>
        </w:rPr>
        <w:t xml:space="preserve"> seien und der Effekt auf funktionelle Fähigkeiten allenfalls </w:t>
      </w:r>
      <w:r w:rsidR="000A2191">
        <w:rPr>
          <w:rFonts w:ascii="Times New Roman" w:hAnsi="Times New Roman" w:cs="Times New Roman"/>
          <w:lang w:val="de-DE"/>
        </w:rPr>
        <w:t>gering</w:t>
      </w:r>
      <w:r w:rsidRPr="005D1555">
        <w:rPr>
          <w:rFonts w:ascii="Times New Roman" w:hAnsi="Times New Roman" w:cs="Times New Roman"/>
          <w:lang w:val="de-DE"/>
        </w:rPr>
        <w:t xml:space="preserve"> ausfalle. Zugleich berichtet das Review ein erhöhtes Risiko für </w:t>
      </w:r>
      <w:r w:rsidR="003E3C79">
        <w:rPr>
          <w:rFonts w:ascii="Times New Roman" w:hAnsi="Times New Roman" w:cs="Times New Roman"/>
          <w:lang w:val="de-DE"/>
        </w:rPr>
        <w:t>A</w:t>
      </w:r>
      <w:r w:rsidRPr="005D1555">
        <w:rPr>
          <w:rFonts w:ascii="Times New Roman" w:hAnsi="Times New Roman" w:cs="Times New Roman"/>
          <w:lang w:val="de-DE"/>
        </w:rPr>
        <w:t>myloid</w:t>
      </w:r>
      <w:r w:rsidR="005D1555">
        <w:rPr>
          <w:rFonts w:ascii="Times New Roman" w:hAnsi="Times New Roman" w:cs="Times New Roman"/>
          <w:lang w:val="de-DE"/>
        </w:rPr>
        <w:t>-</w:t>
      </w:r>
      <w:r w:rsidRPr="005D1555">
        <w:rPr>
          <w:rFonts w:ascii="Times New Roman" w:hAnsi="Times New Roman" w:cs="Times New Roman"/>
          <w:lang w:val="de-DE"/>
        </w:rPr>
        <w:t>assoziierte Auffälligkeiten</w:t>
      </w:r>
      <w:r w:rsidR="005D1555">
        <w:rPr>
          <w:rFonts w:ascii="Times New Roman" w:hAnsi="Times New Roman" w:cs="Times New Roman"/>
          <w:lang w:val="de-DE"/>
        </w:rPr>
        <w:t xml:space="preserve"> </w:t>
      </w:r>
      <w:r w:rsidR="000A2191">
        <w:rPr>
          <w:rFonts w:ascii="Times New Roman" w:hAnsi="Times New Roman" w:cs="Times New Roman"/>
          <w:lang w:val="de-DE"/>
        </w:rPr>
        <w:t xml:space="preserve">in der Bildgebung </w:t>
      </w:r>
      <w:r w:rsidR="005D1555">
        <w:rPr>
          <w:rFonts w:ascii="Times New Roman" w:hAnsi="Times New Roman" w:cs="Times New Roman"/>
          <w:lang w:val="de-DE"/>
        </w:rPr>
        <w:t>(sog. ARIA)</w:t>
      </w:r>
      <w:r w:rsidRPr="005D1555">
        <w:rPr>
          <w:rFonts w:ascii="Times New Roman" w:hAnsi="Times New Roman" w:cs="Times New Roman"/>
          <w:lang w:val="de-DE"/>
        </w:rPr>
        <w:t xml:space="preserve">, darunter </w:t>
      </w:r>
      <w:r w:rsidR="000A2191">
        <w:rPr>
          <w:rFonts w:ascii="Times New Roman" w:hAnsi="Times New Roman" w:cs="Times New Roman"/>
          <w:lang w:val="de-DE"/>
        </w:rPr>
        <w:t xml:space="preserve">fallen </w:t>
      </w:r>
      <w:r w:rsidRPr="005D1555">
        <w:rPr>
          <w:rFonts w:ascii="Times New Roman" w:hAnsi="Times New Roman" w:cs="Times New Roman"/>
          <w:lang w:val="de-DE"/>
        </w:rPr>
        <w:t>Hirnschwellungen und Mikroblutungen.</w:t>
      </w:r>
      <w:r w:rsidR="005F1362">
        <w:rPr>
          <w:rFonts w:ascii="Times New Roman" w:hAnsi="Times New Roman" w:cs="Times New Roman"/>
          <w:lang w:val="de-DE"/>
        </w:rPr>
        <w:t xml:space="preserve"> </w:t>
      </w:r>
      <w:r w:rsidRPr="005D1555">
        <w:rPr>
          <w:rFonts w:ascii="Times New Roman" w:hAnsi="Times New Roman" w:cs="Times New Roman"/>
          <w:lang w:val="de-DE"/>
        </w:rPr>
        <w:t xml:space="preserve">Diese Sicherheitsaspekte sind klinisch hoch relevant und müssen bei jeder Indikationsstellung </w:t>
      </w:r>
      <w:r w:rsidR="000A2191">
        <w:rPr>
          <w:rFonts w:ascii="Times New Roman" w:hAnsi="Times New Roman" w:cs="Times New Roman"/>
          <w:lang w:val="de-DE"/>
        </w:rPr>
        <w:t>sorgfältig bewertet</w:t>
      </w:r>
      <w:r w:rsidRPr="005D1555">
        <w:rPr>
          <w:rFonts w:ascii="Times New Roman" w:hAnsi="Times New Roman" w:cs="Times New Roman"/>
          <w:lang w:val="de-DE"/>
        </w:rPr>
        <w:t xml:space="preserve"> werden. Dass </w:t>
      </w:r>
      <w:r w:rsidR="000A2191">
        <w:rPr>
          <w:rFonts w:ascii="Times New Roman" w:hAnsi="Times New Roman" w:cs="Times New Roman"/>
          <w:lang w:val="de-DE"/>
        </w:rPr>
        <w:t xml:space="preserve">gegen </w:t>
      </w:r>
      <w:r w:rsidR="003E3C79">
        <w:rPr>
          <w:rFonts w:ascii="Times New Roman" w:hAnsi="Times New Roman" w:cs="Times New Roman"/>
          <w:lang w:val="de-DE"/>
        </w:rPr>
        <w:t>A</w:t>
      </w:r>
      <w:r w:rsidRPr="005D1555">
        <w:rPr>
          <w:rFonts w:ascii="Times New Roman" w:hAnsi="Times New Roman" w:cs="Times New Roman"/>
          <w:lang w:val="de-DE"/>
        </w:rPr>
        <w:t xml:space="preserve">myloid gerichtete Antikörper eine strukturierte Überwachung mit </w:t>
      </w:r>
      <w:proofErr w:type="spellStart"/>
      <w:r w:rsidR="005D1555">
        <w:rPr>
          <w:rFonts w:ascii="Times New Roman" w:hAnsi="Times New Roman" w:cs="Times New Roman"/>
          <w:lang w:val="de-DE"/>
        </w:rPr>
        <w:t>c</w:t>
      </w:r>
      <w:r w:rsidRPr="005D1555">
        <w:rPr>
          <w:rFonts w:ascii="Times New Roman" w:hAnsi="Times New Roman" w:cs="Times New Roman"/>
          <w:lang w:val="de-DE"/>
        </w:rPr>
        <w:t>MRT</w:t>
      </w:r>
      <w:proofErr w:type="spellEnd"/>
      <w:r w:rsidRPr="005D1555">
        <w:rPr>
          <w:rFonts w:ascii="Times New Roman" w:hAnsi="Times New Roman" w:cs="Times New Roman"/>
          <w:lang w:val="de-DE"/>
        </w:rPr>
        <w:t xml:space="preserve">-Kontrollen, Erfahrung im Erkennen und Management von ARIA sowie eine sorgfältige Aufklärung erfordern, ist unstrittig. Auch </w:t>
      </w:r>
      <w:proofErr w:type="spellStart"/>
      <w:r w:rsidRPr="005D1555">
        <w:rPr>
          <w:rFonts w:ascii="Times New Roman" w:hAnsi="Times New Roman" w:cs="Times New Roman"/>
          <w:lang w:val="de-DE"/>
        </w:rPr>
        <w:t>Donanemab</w:t>
      </w:r>
      <w:proofErr w:type="spellEnd"/>
      <w:r w:rsidRPr="005D1555">
        <w:rPr>
          <w:rFonts w:ascii="Times New Roman" w:hAnsi="Times New Roman" w:cs="Times New Roman"/>
          <w:lang w:val="de-DE"/>
        </w:rPr>
        <w:t xml:space="preserve"> ist nach der europäischen Fach- und Zulassungsinformation nur unter klar definierten Voraussetzungen und mit engmaschiger Bildgebung anzuwenden.</w:t>
      </w:r>
    </w:p>
    <w:p w14:paraId="2C25BF8C" w14:textId="29B39A3D" w:rsidR="005B5EAD" w:rsidRDefault="004F25A3" w:rsidP="005D1555">
      <w:pPr>
        <w:jc w:val="both"/>
        <w:rPr>
          <w:rFonts w:ascii="Times New Roman" w:hAnsi="Times New Roman" w:cs="Times New Roman"/>
          <w:lang w:val="de-DE"/>
        </w:rPr>
      </w:pPr>
      <w:r w:rsidRPr="005D1555">
        <w:rPr>
          <w:rFonts w:ascii="Times New Roman" w:hAnsi="Times New Roman" w:cs="Times New Roman"/>
          <w:lang w:val="de-DE"/>
        </w:rPr>
        <w:t xml:space="preserve">Aus Sicht </w:t>
      </w:r>
      <w:r w:rsidR="000A2191">
        <w:rPr>
          <w:rFonts w:ascii="Times New Roman" w:hAnsi="Times New Roman" w:cs="Times New Roman"/>
          <w:lang w:val="de-DE"/>
        </w:rPr>
        <w:t>des DNG</w:t>
      </w:r>
      <w:r w:rsidRPr="005D1555">
        <w:rPr>
          <w:rFonts w:ascii="Times New Roman" w:hAnsi="Times New Roman" w:cs="Times New Roman"/>
          <w:lang w:val="de-DE"/>
        </w:rPr>
        <w:t xml:space="preserve"> liegt die wesentliche methodische Schwäche des Cochrane-Reviews </w:t>
      </w:r>
      <w:r w:rsidR="003E3C79">
        <w:rPr>
          <w:rFonts w:ascii="Times New Roman" w:hAnsi="Times New Roman" w:cs="Times New Roman"/>
          <w:lang w:val="de-DE"/>
        </w:rPr>
        <w:t xml:space="preserve">in der </w:t>
      </w:r>
      <w:r w:rsidR="003120C2">
        <w:rPr>
          <w:rFonts w:ascii="Times New Roman" w:hAnsi="Times New Roman" w:cs="Times New Roman"/>
          <w:lang w:val="de-DE"/>
        </w:rPr>
        <w:t xml:space="preserve">nicht </w:t>
      </w:r>
      <w:r w:rsidR="00971E58">
        <w:rPr>
          <w:rFonts w:ascii="Times New Roman" w:hAnsi="Times New Roman" w:cs="Times New Roman"/>
          <w:lang w:val="de-DE"/>
        </w:rPr>
        <w:t>sachgerechten</w:t>
      </w:r>
      <w:r w:rsidR="003120C2">
        <w:rPr>
          <w:rFonts w:ascii="Times New Roman" w:hAnsi="Times New Roman" w:cs="Times New Roman"/>
          <w:lang w:val="de-DE"/>
        </w:rPr>
        <w:t xml:space="preserve"> </w:t>
      </w:r>
      <w:r w:rsidR="009669F1">
        <w:rPr>
          <w:rFonts w:ascii="Times New Roman" w:hAnsi="Times New Roman" w:cs="Times New Roman"/>
          <w:lang w:val="de-DE"/>
        </w:rPr>
        <w:t>Gleichbehandlung</w:t>
      </w:r>
      <w:r w:rsidR="003120C2">
        <w:rPr>
          <w:rFonts w:ascii="Times New Roman" w:hAnsi="Times New Roman" w:cs="Times New Roman"/>
          <w:lang w:val="de-DE"/>
        </w:rPr>
        <w:t xml:space="preserve"> aller </w:t>
      </w:r>
      <w:r w:rsidR="00971E58">
        <w:rPr>
          <w:rFonts w:ascii="Times New Roman" w:hAnsi="Times New Roman" w:cs="Times New Roman"/>
          <w:lang w:val="de-DE"/>
        </w:rPr>
        <w:t xml:space="preserve">jemals entwickelter </w:t>
      </w:r>
      <w:r w:rsidR="003E3C79">
        <w:rPr>
          <w:rFonts w:ascii="Times New Roman" w:hAnsi="Times New Roman" w:cs="Times New Roman"/>
          <w:lang w:val="de-DE"/>
        </w:rPr>
        <w:t>Antikörper</w:t>
      </w:r>
      <w:r w:rsidR="00A9468E">
        <w:rPr>
          <w:rFonts w:ascii="Times New Roman" w:hAnsi="Times New Roman" w:cs="Times New Roman"/>
          <w:lang w:val="de-DE"/>
        </w:rPr>
        <w:t xml:space="preserve"> und der verwendeten Studiendesigns</w:t>
      </w:r>
      <w:r w:rsidR="003120C2">
        <w:rPr>
          <w:rFonts w:ascii="Times New Roman" w:hAnsi="Times New Roman" w:cs="Times New Roman"/>
          <w:lang w:val="de-DE"/>
        </w:rPr>
        <w:t xml:space="preserve">, </w:t>
      </w:r>
      <w:r w:rsidR="00A9468E">
        <w:rPr>
          <w:rFonts w:ascii="Times New Roman" w:hAnsi="Times New Roman" w:cs="Times New Roman"/>
          <w:lang w:val="de-DE"/>
        </w:rPr>
        <w:t xml:space="preserve">sowie </w:t>
      </w:r>
      <w:r w:rsidR="003E3C79">
        <w:rPr>
          <w:rFonts w:ascii="Times New Roman" w:hAnsi="Times New Roman" w:cs="Times New Roman"/>
          <w:lang w:val="de-DE"/>
        </w:rPr>
        <w:t>der daraus resultierenden</w:t>
      </w:r>
      <w:r w:rsidRPr="005D1555">
        <w:rPr>
          <w:rFonts w:ascii="Times New Roman" w:hAnsi="Times New Roman" w:cs="Times New Roman"/>
          <w:lang w:val="de-DE"/>
        </w:rPr>
        <w:t xml:space="preserve"> weitreichenden klassenweiten Schlussfolgerung. In der gepoolten Analyse werden ältere</w:t>
      </w:r>
      <w:r w:rsidR="003E3C79" w:rsidRPr="003E3C79">
        <w:rPr>
          <w:rFonts w:ascii="Times New Roman" w:hAnsi="Times New Roman" w:cs="Times New Roman"/>
          <w:lang w:val="de-DE"/>
        </w:rPr>
        <w:t xml:space="preserve"> </w:t>
      </w:r>
      <w:r w:rsidR="003E3C79">
        <w:rPr>
          <w:rFonts w:ascii="Times New Roman" w:hAnsi="Times New Roman" w:cs="Times New Roman"/>
          <w:lang w:val="de-DE"/>
        </w:rPr>
        <w:t xml:space="preserve">Antikörper, die sehr unterschiedliche Epitope und Aggregationsstufen des </w:t>
      </w:r>
      <w:proofErr w:type="spellStart"/>
      <w:r w:rsidR="003E3C79">
        <w:rPr>
          <w:rFonts w:ascii="Times New Roman" w:hAnsi="Times New Roman" w:cs="Times New Roman"/>
          <w:lang w:val="de-DE"/>
        </w:rPr>
        <w:t>Amyloidpeptids</w:t>
      </w:r>
      <w:proofErr w:type="spellEnd"/>
      <w:r w:rsidR="003E3C79">
        <w:rPr>
          <w:rFonts w:ascii="Times New Roman" w:hAnsi="Times New Roman" w:cs="Times New Roman"/>
          <w:lang w:val="de-DE"/>
        </w:rPr>
        <w:t xml:space="preserve"> ansprechen und die sehr unterschiedliche Auswirkungen auf die </w:t>
      </w:r>
      <w:proofErr w:type="spellStart"/>
      <w:r w:rsidR="003E3C79">
        <w:rPr>
          <w:rFonts w:ascii="Times New Roman" w:hAnsi="Times New Roman" w:cs="Times New Roman"/>
          <w:lang w:val="de-DE"/>
        </w:rPr>
        <w:t>Amyloidbelastung</w:t>
      </w:r>
      <w:proofErr w:type="spellEnd"/>
      <w:r w:rsidR="003E3C79">
        <w:rPr>
          <w:rFonts w:ascii="Times New Roman" w:hAnsi="Times New Roman" w:cs="Times New Roman"/>
          <w:lang w:val="de-DE"/>
        </w:rPr>
        <w:t xml:space="preserve"> haben</w:t>
      </w:r>
      <w:r w:rsidRPr="005D1555">
        <w:rPr>
          <w:rFonts w:ascii="Times New Roman" w:hAnsi="Times New Roman" w:cs="Times New Roman"/>
          <w:lang w:val="de-DE"/>
        </w:rPr>
        <w:t xml:space="preserve">, gemeinsam mit </w:t>
      </w:r>
      <w:r w:rsidRPr="005D1555">
        <w:rPr>
          <w:rFonts w:ascii="Times New Roman" w:hAnsi="Times New Roman" w:cs="Times New Roman"/>
          <w:lang w:val="de-DE"/>
        </w:rPr>
        <w:lastRenderedPageBreak/>
        <w:t xml:space="preserve">neueren, regulatorisch zugelassenen Wirkstoffen ausgewertet. </w:t>
      </w:r>
      <w:r w:rsidR="006F3954">
        <w:rPr>
          <w:rFonts w:ascii="Times New Roman" w:hAnsi="Times New Roman" w:cs="Times New Roman"/>
          <w:lang w:val="de-DE"/>
        </w:rPr>
        <w:t>Damit stehen nur</w:t>
      </w:r>
      <w:r w:rsidR="003E3C79">
        <w:rPr>
          <w:rFonts w:ascii="Times New Roman" w:hAnsi="Times New Roman" w:cs="Times New Roman"/>
          <w:lang w:val="de-DE"/>
        </w:rPr>
        <w:t xml:space="preserve"> zwei der sieben analysierten Antikörper prinzipiell für eine medikamentöse Therapie zur Verfügung</w:t>
      </w:r>
      <w:r w:rsidR="006F3954">
        <w:rPr>
          <w:rFonts w:ascii="Times New Roman" w:hAnsi="Times New Roman" w:cs="Times New Roman"/>
          <w:lang w:val="de-DE"/>
        </w:rPr>
        <w:t xml:space="preserve"> und müssen vom klinisch tätigen Arzt hinsichtlich einer rationalen Therapieentscheidung bewertet werden.</w:t>
      </w:r>
    </w:p>
    <w:p w14:paraId="556FB8E7" w14:textId="77777777" w:rsidR="00F76FAC" w:rsidRDefault="008C5DFF" w:rsidP="005D1555">
      <w:pPr>
        <w:jc w:val="both"/>
        <w:rPr>
          <w:rFonts w:ascii="Times New Roman" w:hAnsi="Times New Roman" w:cs="Times New Roman"/>
          <w:lang w:val="de-DE"/>
        </w:rPr>
      </w:pPr>
      <w:r>
        <w:rPr>
          <w:rFonts w:ascii="Times New Roman" w:hAnsi="Times New Roman" w:cs="Times New Roman"/>
          <w:lang w:val="de-DE"/>
        </w:rPr>
        <w:t>D</w:t>
      </w:r>
      <w:r w:rsidR="00EF0954" w:rsidRPr="00EF0954">
        <w:rPr>
          <w:rFonts w:ascii="Times New Roman" w:hAnsi="Times New Roman" w:cs="Times New Roman"/>
          <w:lang w:val="de-DE"/>
        </w:rPr>
        <w:t>ie</w:t>
      </w:r>
      <w:r>
        <w:rPr>
          <w:rFonts w:ascii="Times New Roman" w:hAnsi="Times New Roman" w:cs="Times New Roman"/>
          <w:lang w:val="de-DE"/>
        </w:rPr>
        <w:t>ses Vorgehen</w:t>
      </w:r>
      <w:r w:rsidR="00EF0954" w:rsidRPr="00EF0954">
        <w:rPr>
          <w:rFonts w:ascii="Times New Roman" w:hAnsi="Times New Roman" w:cs="Times New Roman"/>
          <w:lang w:val="de-DE"/>
        </w:rPr>
        <w:t xml:space="preserve"> </w:t>
      </w:r>
      <w:r>
        <w:rPr>
          <w:rFonts w:ascii="Times New Roman" w:hAnsi="Times New Roman" w:cs="Times New Roman"/>
          <w:lang w:val="de-DE"/>
        </w:rPr>
        <w:t>unterschätzt systematisch</w:t>
      </w:r>
      <w:r w:rsidRPr="00EF0954">
        <w:rPr>
          <w:rFonts w:ascii="Times New Roman" w:hAnsi="Times New Roman" w:cs="Times New Roman"/>
          <w:lang w:val="de-DE"/>
        </w:rPr>
        <w:t xml:space="preserve"> </w:t>
      </w:r>
      <w:r w:rsidR="00EF0954" w:rsidRPr="00EF0954">
        <w:rPr>
          <w:rFonts w:ascii="Times New Roman" w:hAnsi="Times New Roman" w:cs="Times New Roman"/>
          <w:lang w:val="de-DE"/>
        </w:rPr>
        <w:t xml:space="preserve">die Wirksamkeit derzeit zugelassener Therapien, während die Misserfolge früherer Generationen überbewertet werden. Eine </w:t>
      </w:r>
      <w:r w:rsidR="004E3003" w:rsidRPr="00EF0954">
        <w:rPr>
          <w:rFonts w:ascii="Times New Roman" w:hAnsi="Times New Roman" w:cs="Times New Roman"/>
          <w:lang w:val="de-DE"/>
        </w:rPr>
        <w:t>auss</w:t>
      </w:r>
      <w:r w:rsidR="004E3003">
        <w:rPr>
          <w:rFonts w:ascii="Times New Roman" w:hAnsi="Times New Roman" w:cs="Times New Roman"/>
          <w:lang w:val="de-DE"/>
        </w:rPr>
        <w:t>agekräftige Synthese</w:t>
      </w:r>
      <w:r w:rsidR="004E3003" w:rsidRPr="00EF0954">
        <w:rPr>
          <w:rFonts w:ascii="Times New Roman" w:hAnsi="Times New Roman" w:cs="Times New Roman"/>
          <w:lang w:val="de-DE"/>
        </w:rPr>
        <w:t xml:space="preserve"> </w:t>
      </w:r>
      <w:r w:rsidR="004E3003">
        <w:rPr>
          <w:rFonts w:ascii="Times New Roman" w:hAnsi="Times New Roman" w:cs="Times New Roman"/>
          <w:lang w:val="de-DE"/>
        </w:rPr>
        <w:t xml:space="preserve">erfordert eine </w:t>
      </w:r>
      <w:r w:rsidR="00EF0954" w:rsidRPr="00EF0954">
        <w:rPr>
          <w:rFonts w:ascii="Times New Roman" w:hAnsi="Times New Roman" w:cs="Times New Roman"/>
          <w:lang w:val="de-DE"/>
        </w:rPr>
        <w:t xml:space="preserve">stratifizierte Analyse, die das Entwicklungsstadium </w:t>
      </w:r>
      <w:r>
        <w:rPr>
          <w:rFonts w:ascii="Times New Roman" w:hAnsi="Times New Roman" w:cs="Times New Roman"/>
          <w:lang w:val="de-DE"/>
        </w:rPr>
        <w:t xml:space="preserve">der Substanzen </w:t>
      </w:r>
      <w:r w:rsidR="00F76FAC">
        <w:rPr>
          <w:rFonts w:ascii="Times New Roman" w:hAnsi="Times New Roman" w:cs="Times New Roman"/>
          <w:lang w:val="de-DE"/>
        </w:rPr>
        <w:t>und</w:t>
      </w:r>
      <w:r w:rsidR="00EF0954" w:rsidRPr="00EF0954">
        <w:rPr>
          <w:rFonts w:ascii="Times New Roman" w:hAnsi="Times New Roman" w:cs="Times New Roman"/>
          <w:lang w:val="de-DE"/>
        </w:rPr>
        <w:t xml:space="preserve"> wichtige pharmakodynamische Merkmale (wie die Plaque-Clearance-Kapazität</w:t>
      </w:r>
      <w:r w:rsidR="0038120E">
        <w:rPr>
          <w:rFonts w:ascii="Times New Roman" w:hAnsi="Times New Roman" w:cs="Times New Roman"/>
          <w:lang w:val="de-DE"/>
        </w:rPr>
        <w:t xml:space="preserve">) und </w:t>
      </w:r>
      <w:r w:rsidR="004E3003">
        <w:rPr>
          <w:rFonts w:ascii="Times New Roman" w:hAnsi="Times New Roman" w:cs="Times New Roman"/>
          <w:lang w:val="de-DE"/>
        </w:rPr>
        <w:t>fundamentale Aspekte</w:t>
      </w:r>
      <w:r w:rsidR="0038120E">
        <w:rPr>
          <w:rFonts w:ascii="Times New Roman" w:hAnsi="Times New Roman" w:cs="Times New Roman"/>
          <w:lang w:val="de-DE"/>
        </w:rPr>
        <w:t xml:space="preserve"> der klinischen Studien</w:t>
      </w:r>
      <w:r w:rsidR="00EF0954" w:rsidRPr="00EF0954">
        <w:rPr>
          <w:rFonts w:ascii="Times New Roman" w:hAnsi="Times New Roman" w:cs="Times New Roman"/>
          <w:lang w:val="de-DE"/>
        </w:rPr>
        <w:t xml:space="preserve"> </w:t>
      </w:r>
      <w:r w:rsidR="004E3003">
        <w:rPr>
          <w:rFonts w:ascii="Times New Roman" w:hAnsi="Times New Roman" w:cs="Times New Roman"/>
          <w:lang w:val="de-DE"/>
        </w:rPr>
        <w:t xml:space="preserve">(wie Biomarker-integration bei Probandenauswahl) </w:t>
      </w:r>
      <w:r w:rsidR="00EF0954" w:rsidRPr="00EF0954">
        <w:rPr>
          <w:rFonts w:ascii="Times New Roman" w:hAnsi="Times New Roman" w:cs="Times New Roman"/>
          <w:lang w:val="de-DE"/>
        </w:rPr>
        <w:t>berücksichtigt.</w:t>
      </w:r>
    </w:p>
    <w:p w14:paraId="3F3215C2" w14:textId="604BC274" w:rsidR="005B5EAD" w:rsidRPr="005D1555" w:rsidRDefault="004F25A3" w:rsidP="005D1555">
      <w:pPr>
        <w:jc w:val="both"/>
        <w:rPr>
          <w:rFonts w:ascii="Times New Roman" w:hAnsi="Times New Roman" w:cs="Times New Roman"/>
          <w:lang w:val="de-DE"/>
        </w:rPr>
      </w:pPr>
      <w:r w:rsidRPr="005D1555">
        <w:rPr>
          <w:rFonts w:ascii="Times New Roman" w:hAnsi="Times New Roman" w:cs="Times New Roman"/>
          <w:lang w:val="de-DE"/>
        </w:rPr>
        <w:t xml:space="preserve">Eine </w:t>
      </w:r>
      <w:r w:rsidR="00971E58">
        <w:rPr>
          <w:rFonts w:ascii="Times New Roman" w:hAnsi="Times New Roman" w:cs="Times New Roman"/>
          <w:lang w:val="de-DE"/>
        </w:rPr>
        <w:t>gemeinsame Betrachtung aller bislang entwickelten gegen Amyloid gerichteten Antikörper</w:t>
      </w:r>
      <w:r w:rsidRPr="005D1555">
        <w:rPr>
          <w:rFonts w:ascii="Times New Roman" w:hAnsi="Times New Roman" w:cs="Times New Roman"/>
          <w:lang w:val="de-DE"/>
        </w:rPr>
        <w:t xml:space="preserve"> kann für eine </w:t>
      </w:r>
      <w:r w:rsidR="00971E58">
        <w:rPr>
          <w:rFonts w:ascii="Times New Roman" w:hAnsi="Times New Roman" w:cs="Times New Roman"/>
          <w:lang w:val="de-DE"/>
        </w:rPr>
        <w:t>Analyse der Wirksamkeitsparameter</w:t>
      </w:r>
      <w:r w:rsidRPr="005D1555">
        <w:rPr>
          <w:rFonts w:ascii="Times New Roman" w:hAnsi="Times New Roman" w:cs="Times New Roman"/>
          <w:lang w:val="de-DE"/>
        </w:rPr>
        <w:t xml:space="preserve"> nützlich sein, sie </w:t>
      </w:r>
      <w:r w:rsidR="006F3954">
        <w:rPr>
          <w:rFonts w:ascii="Times New Roman" w:hAnsi="Times New Roman" w:cs="Times New Roman"/>
          <w:lang w:val="de-DE"/>
        </w:rPr>
        <w:t xml:space="preserve">sollte dann aber v.a. nach grundlagenwissenschaftlichen Kriterien </w:t>
      </w:r>
      <w:r w:rsidR="00AF69BE">
        <w:rPr>
          <w:rFonts w:ascii="Times New Roman" w:hAnsi="Times New Roman" w:cs="Times New Roman"/>
          <w:lang w:val="de-DE"/>
        </w:rPr>
        <w:t>erfolgen</w:t>
      </w:r>
      <w:r w:rsidR="006F3954">
        <w:rPr>
          <w:rFonts w:ascii="Times New Roman" w:hAnsi="Times New Roman" w:cs="Times New Roman"/>
          <w:lang w:val="de-DE"/>
        </w:rPr>
        <w:t xml:space="preserve">, um die Unterschiede der Substanzen </w:t>
      </w:r>
      <w:r w:rsidR="004E3003">
        <w:rPr>
          <w:rFonts w:ascii="Times New Roman" w:hAnsi="Times New Roman" w:cs="Times New Roman"/>
          <w:lang w:val="de-DE"/>
        </w:rPr>
        <w:t xml:space="preserve">adäquat </w:t>
      </w:r>
      <w:r w:rsidR="006F3954">
        <w:rPr>
          <w:rFonts w:ascii="Times New Roman" w:hAnsi="Times New Roman" w:cs="Times New Roman"/>
          <w:lang w:val="de-DE"/>
        </w:rPr>
        <w:t xml:space="preserve">zu bewerten. Sie </w:t>
      </w:r>
      <w:r w:rsidRPr="005D1555">
        <w:rPr>
          <w:rFonts w:ascii="Times New Roman" w:hAnsi="Times New Roman" w:cs="Times New Roman"/>
          <w:lang w:val="de-DE"/>
        </w:rPr>
        <w:t xml:space="preserve">ist </w:t>
      </w:r>
      <w:r w:rsidR="00AF69BE">
        <w:rPr>
          <w:rFonts w:ascii="Times New Roman" w:hAnsi="Times New Roman" w:cs="Times New Roman"/>
          <w:lang w:val="de-DE"/>
        </w:rPr>
        <w:t>allerdings</w:t>
      </w:r>
      <w:r w:rsidRPr="005D1555">
        <w:rPr>
          <w:rFonts w:ascii="Times New Roman" w:hAnsi="Times New Roman" w:cs="Times New Roman"/>
          <w:lang w:val="de-DE"/>
        </w:rPr>
        <w:t xml:space="preserve"> </w:t>
      </w:r>
      <w:r w:rsidR="006F3954">
        <w:rPr>
          <w:rFonts w:ascii="Times New Roman" w:hAnsi="Times New Roman" w:cs="Times New Roman"/>
          <w:lang w:val="de-DE"/>
        </w:rPr>
        <w:t>nicht</w:t>
      </w:r>
      <w:r w:rsidR="006F3954" w:rsidRPr="005D1555">
        <w:rPr>
          <w:rFonts w:ascii="Times New Roman" w:hAnsi="Times New Roman" w:cs="Times New Roman"/>
          <w:lang w:val="de-DE"/>
        </w:rPr>
        <w:t xml:space="preserve"> </w:t>
      </w:r>
      <w:r w:rsidRPr="005D1555">
        <w:rPr>
          <w:rFonts w:ascii="Times New Roman" w:hAnsi="Times New Roman" w:cs="Times New Roman"/>
          <w:lang w:val="de-DE"/>
        </w:rPr>
        <w:t xml:space="preserve">geeignet, die klinische Relevanz einzelner, aktuell zugelassener Wirkstoffe zu beurteilen. Genau auf diesen Punkt haben auch externe fachliche Einordnungen hingewiesen: Sowohl die Alzheimer’s Society als auch mehrere vom UK Dementia Research Institute zitierte Expertinnen und Experten kritisieren, dass durch </w:t>
      </w:r>
      <w:r w:rsidR="001914E1" w:rsidRPr="005D1555">
        <w:rPr>
          <w:rFonts w:ascii="Times New Roman" w:hAnsi="Times New Roman" w:cs="Times New Roman"/>
          <w:lang w:val="de-DE"/>
        </w:rPr>
        <w:t xml:space="preserve">das gemeinsame </w:t>
      </w:r>
      <w:r w:rsidR="001914E1">
        <w:rPr>
          <w:rFonts w:ascii="Times New Roman" w:hAnsi="Times New Roman" w:cs="Times New Roman"/>
          <w:lang w:val="de-DE"/>
        </w:rPr>
        <w:t>Betrachten</w:t>
      </w:r>
      <w:r w:rsidRPr="005D1555">
        <w:rPr>
          <w:rFonts w:ascii="Times New Roman" w:hAnsi="Times New Roman" w:cs="Times New Roman"/>
          <w:lang w:val="de-DE"/>
        </w:rPr>
        <w:t xml:space="preserve"> mehrerer </w:t>
      </w:r>
      <w:r w:rsidR="006F3954">
        <w:rPr>
          <w:rFonts w:ascii="Times New Roman" w:hAnsi="Times New Roman" w:cs="Times New Roman"/>
          <w:lang w:val="de-DE"/>
        </w:rPr>
        <w:t>nicht zur Zulassung gekommener</w:t>
      </w:r>
      <w:r w:rsidR="00AF69BE">
        <w:rPr>
          <w:rFonts w:ascii="Times New Roman" w:hAnsi="Times New Roman" w:cs="Times New Roman"/>
          <w:lang w:val="de-DE"/>
        </w:rPr>
        <w:t>,</w:t>
      </w:r>
      <w:r w:rsidR="006F3954">
        <w:rPr>
          <w:rFonts w:ascii="Times New Roman" w:hAnsi="Times New Roman" w:cs="Times New Roman"/>
          <w:lang w:val="de-DE"/>
        </w:rPr>
        <w:t xml:space="preserve"> experimenteller Substanzen</w:t>
      </w:r>
      <w:r w:rsidRPr="005D1555">
        <w:rPr>
          <w:rFonts w:ascii="Times New Roman" w:hAnsi="Times New Roman" w:cs="Times New Roman"/>
          <w:lang w:val="de-DE"/>
        </w:rPr>
        <w:t xml:space="preserve"> mit wenigen </w:t>
      </w:r>
      <w:r w:rsidR="006F3954">
        <w:rPr>
          <w:rFonts w:ascii="Times New Roman" w:hAnsi="Times New Roman" w:cs="Times New Roman"/>
          <w:lang w:val="de-DE"/>
        </w:rPr>
        <w:t>als Arzneimittel zugelassenen Substanzen</w:t>
      </w:r>
      <w:r w:rsidR="00582BEF">
        <w:rPr>
          <w:rFonts w:ascii="Times New Roman" w:hAnsi="Times New Roman" w:cs="Times New Roman"/>
          <w:lang w:val="de-DE"/>
        </w:rPr>
        <w:t xml:space="preserve"> (</w:t>
      </w:r>
      <w:proofErr w:type="spellStart"/>
      <w:r w:rsidR="00582BEF">
        <w:rPr>
          <w:rFonts w:ascii="Times New Roman" w:hAnsi="Times New Roman" w:cs="Times New Roman"/>
          <w:lang w:val="de-DE"/>
        </w:rPr>
        <w:t>Lecanemab</w:t>
      </w:r>
      <w:proofErr w:type="spellEnd"/>
      <w:r w:rsidR="00582BEF">
        <w:rPr>
          <w:rFonts w:ascii="Times New Roman" w:hAnsi="Times New Roman" w:cs="Times New Roman"/>
          <w:lang w:val="de-DE"/>
        </w:rPr>
        <w:t xml:space="preserve">, </w:t>
      </w:r>
      <w:proofErr w:type="spellStart"/>
      <w:r w:rsidR="00582BEF">
        <w:rPr>
          <w:rFonts w:ascii="Times New Roman" w:hAnsi="Times New Roman" w:cs="Times New Roman"/>
          <w:lang w:val="de-DE"/>
        </w:rPr>
        <w:t>Donanemab</w:t>
      </w:r>
      <w:proofErr w:type="spellEnd"/>
      <w:r w:rsidR="00582BEF">
        <w:rPr>
          <w:rFonts w:ascii="Times New Roman" w:hAnsi="Times New Roman" w:cs="Times New Roman"/>
          <w:lang w:val="de-DE"/>
        </w:rPr>
        <w:t>)</w:t>
      </w:r>
      <w:r w:rsidRPr="005D1555">
        <w:rPr>
          <w:rFonts w:ascii="Times New Roman" w:hAnsi="Times New Roman" w:cs="Times New Roman"/>
          <w:lang w:val="de-DE"/>
        </w:rPr>
        <w:t xml:space="preserve"> Unterschiede </w:t>
      </w:r>
      <w:r w:rsidR="00AF69BE">
        <w:rPr>
          <w:rFonts w:ascii="Times New Roman" w:hAnsi="Times New Roman" w:cs="Times New Roman"/>
          <w:lang w:val="de-DE"/>
        </w:rPr>
        <w:t>mi</w:t>
      </w:r>
      <w:r w:rsidR="001914E1">
        <w:rPr>
          <w:rFonts w:ascii="Times New Roman" w:hAnsi="Times New Roman" w:cs="Times New Roman"/>
          <w:lang w:val="de-DE"/>
        </w:rPr>
        <w:t>ss</w:t>
      </w:r>
      <w:r w:rsidR="00AF69BE">
        <w:rPr>
          <w:rFonts w:ascii="Times New Roman" w:hAnsi="Times New Roman" w:cs="Times New Roman"/>
          <w:lang w:val="de-DE"/>
        </w:rPr>
        <w:t>achtet</w:t>
      </w:r>
      <w:r w:rsidRPr="005D1555">
        <w:rPr>
          <w:rFonts w:ascii="Times New Roman" w:hAnsi="Times New Roman" w:cs="Times New Roman"/>
          <w:lang w:val="de-DE"/>
        </w:rPr>
        <w:t xml:space="preserve"> und </w:t>
      </w:r>
      <w:r w:rsidR="00AF69BE">
        <w:rPr>
          <w:rFonts w:ascii="Times New Roman" w:hAnsi="Times New Roman" w:cs="Times New Roman"/>
          <w:lang w:val="de-DE"/>
        </w:rPr>
        <w:t xml:space="preserve">der mehrfach erbrachte Nachweis der </w:t>
      </w:r>
      <w:r w:rsidR="00582BEF">
        <w:rPr>
          <w:rFonts w:ascii="Times New Roman" w:hAnsi="Times New Roman" w:cs="Times New Roman"/>
          <w:lang w:val="de-DE"/>
        </w:rPr>
        <w:t>Wirksamkeit nicht mehr nachvollziehbar ist</w:t>
      </w:r>
      <w:r w:rsidRPr="005D1555">
        <w:rPr>
          <w:rFonts w:ascii="Times New Roman" w:hAnsi="Times New Roman" w:cs="Times New Roman"/>
          <w:lang w:val="de-DE"/>
        </w:rPr>
        <w:t>.</w:t>
      </w:r>
    </w:p>
    <w:p w14:paraId="7F797A48" w14:textId="443199DE" w:rsidR="005B5EAD" w:rsidRPr="001914E1" w:rsidRDefault="004F25A3" w:rsidP="005D1555">
      <w:pPr>
        <w:jc w:val="both"/>
        <w:rPr>
          <w:rFonts w:ascii="Times New Roman" w:hAnsi="Times New Roman" w:cs="Times New Roman"/>
          <w:u w:val="single"/>
          <w:lang w:val="de-DE"/>
        </w:rPr>
      </w:pPr>
      <w:r w:rsidRPr="001914E1">
        <w:rPr>
          <w:rFonts w:ascii="Times New Roman" w:hAnsi="Times New Roman" w:cs="Times New Roman"/>
          <w:u w:val="single"/>
          <w:lang w:val="de-DE"/>
        </w:rPr>
        <w:t xml:space="preserve">Aus Sicht </w:t>
      </w:r>
      <w:r w:rsidR="00582BEF" w:rsidRPr="001914E1">
        <w:rPr>
          <w:rFonts w:ascii="Times New Roman" w:hAnsi="Times New Roman" w:cs="Times New Roman"/>
          <w:u w:val="single"/>
          <w:lang w:val="de-DE"/>
        </w:rPr>
        <w:t xml:space="preserve">des DNG </w:t>
      </w:r>
      <w:r w:rsidRPr="001914E1">
        <w:rPr>
          <w:rFonts w:ascii="Times New Roman" w:hAnsi="Times New Roman" w:cs="Times New Roman"/>
          <w:u w:val="single"/>
          <w:lang w:val="de-DE"/>
        </w:rPr>
        <w:t xml:space="preserve">folgt aus dem Cochrane-Review nicht, dass </w:t>
      </w:r>
      <w:r w:rsidR="00582BEF" w:rsidRPr="001914E1">
        <w:rPr>
          <w:rFonts w:ascii="Times New Roman" w:hAnsi="Times New Roman" w:cs="Times New Roman"/>
          <w:u w:val="single"/>
          <w:lang w:val="de-DE"/>
        </w:rPr>
        <w:t xml:space="preserve">gegen </w:t>
      </w:r>
      <w:r w:rsidRPr="001914E1">
        <w:rPr>
          <w:rFonts w:ascii="Times New Roman" w:hAnsi="Times New Roman" w:cs="Times New Roman"/>
          <w:u w:val="single"/>
          <w:lang w:val="de-DE"/>
        </w:rPr>
        <w:t xml:space="preserve">Amyloid gerichtete Therapien insgesamt </w:t>
      </w:r>
      <w:r w:rsidR="00582BEF" w:rsidRPr="001914E1">
        <w:rPr>
          <w:rFonts w:ascii="Times New Roman" w:hAnsi="Times New Roman" w:cs="Times New Roman"/>
          <w:u w:val="single"/>
          <w:lang w:val="de-DE"/>
        </w:rPr>
        <w:t>in Misskredit geraten</w:t>
      </w:r>
      <w:r w:rsidRPr="001914E1">
        <w:rPr>
          <w:rFonts w:ascii="Times New Roman" w:hAnsi="Times New Roman" w:cs="Times New Roman"/>
          <w:u w:val="single"/>
          <w:lang w:val="de-DE"/>
        </w:rPr>
        <w:t xml:space="preserve"> sollten. Vielmehr unterstreicht das Review, dass Nutzen und Risiken nur wirkstoffspezifisch, </w:t>
      </w:r>
      <w:proofErr w:type="spellStart"/>
      <w:r w:rsidRPr="001914E1">
        <w:rPr>
          <w:rFonts w:ascii="Times New Roman" w:hAnsi="Times New Roman" w:cs="Times New Roman"/>
          <w:u w:val="single"/>
          <w:lang w:val="de-DE"/>
        </w:rPr>
        <w:t>stadienbezogen</w:t>
      </w:r>
      <w:proofErr w:type="spellEnd"/>
      <w:r w:rsidRPr="001914E1">
        <w:rPr>
          <w:rFonts w:ascii="Times New Roman" w:hAnsi="Times New Roman" w:cs="Times New Roman"/>
          <w:u w:val="single"/>
          <w:lang w:val="de-DE"/>
        </w:rPr>
        <w:t xml:space="preserve"> und innerhalb qualitätsgesicherter Versorgungsstrukturen angemessen bewertet werden können.</w:t>
      </w:r>
    </w:p>
    <w:p w14:paraId="72550EF2" w14:textId="48D18998" w:rsidR="005B5EAD" w:rsidRPr="005D1555" w:rsidRDefault="004F25A3" w:rsidP="005D1555">
      <w:pPr>
        <w:pStyle w:val="berschrift2"/>
        <w:jc w:val="both"/>
        <w:rPr>
          <w:rFonts w:ascii="Times New Roman" w:hAnsi="Times New Roman" w:cs="Times New Roman"/>
          <w:color w:val="auto"/>
          <w:sz w:val="22"/>
          <w:szCs w:val="22"/>
          <w:lang w:val="de-DE"/>
        </w:rPr>
      </w:pPr>
      <w:r w:rsidRPr="005D1555">
        <w:rPr>
          <w:rFonts w:ascii="Times New Roman" w:hAnsi="Times New Roman" w:cs="Times New Roman"/>
          <w:color w:val="auto"/>
          <w:sz w:val="22"/>
          <w:szCs w:val="22"/>
          <w:lang w:val="de-DE"/>
        </w:rPr>
        <w:t>3. Was aus Sicht de</w:t>
      </w:r>
      <w:r w:rsidR="001914E1">
        <w:rPr>
          <w:rFonts w:ascii="Times New Roman" w:hAnsi="Times New Roman" w:cs="Times New Roman"/>
          <w:color w:val="auto"/>
          <w:sz w:val="22"/>
          <w:szCs w:val="22"/>
          <w:lang w:val="de-DE"/>
        </w:rPr>
        <w:t xml:space="preserve">s DNG </w:t>
      </w:r>
      <w:r w:rsidRPr="005D1555">
        <w:rPr>
          <w:rFonts w:ascii="Times New Roman" w:hAnsi="Times New Roman" w:cs="Times New Roman"/>
          <w:color w:val="auto"/>
          <w:sz w:val="22"/>
          <w:szCs w:val="22"/>
          <w:lang w:val="de-DE"/>
        </w:rPr>
        <w:t>daraus folgt</w:t>
      </w:r>
    </w:p>
    <w:p w14:paraId="442B3E3E" w14:textId="1D72D573" w:rsidR="005B5EAD" w:rsidRPr="005D1555" w:rsidRDefault="004F25A3" w:rsidP="005D1555">
      <w:pPr>
        <w:jc w:val="both"/>
        <w:rPr>
          <w:rFonts w:ascii="Times New Roman" w:hAnsi="Times New Roman" w:cs="Times New Roman"/>
          <w:lang w:val="de-DE"/>
        </w:rPr>
      </w:pPr>
      <w:r w:rsidRPr="005D1555">
        <w:rPr>
          <w:rFonts w:ascii="Times New Roman" w:hAnsi="Times New Roman" w:cs="Times New Roman"/>
          <w:lang w:val="de-DE"/>
        </w:rPr>
        <w:t>Die aktuelle Evidenzlage rechtfertigt weder unkritischen Enthusiasmus noch eine pauschale Ablehnung</w:t>
      </w:r>
      <w:r>
        <w:rPr>
          <w:rFonts w:ascii="Times New Roman" w:hAnsi="Times New Roman" w:cs="Times New Roman"/>
          <w:lang w:val="de-DE"/>
        </w:rPr>
        <w:t xml:space="preserve"> der </w:t>
      </w:r>
      <w:r w:rsidR="00582BEF">
        <w:rPr>
          <w:rFonts w:ascii="Times New Roman" w:hAnsi="Times New Roman" w:cs="Times New Roman"/>
          <w:lang w:val="de-DE"/>
        </w:rPr>
        <w:t xml:space="preserve">gegen </w:t>
      </w:r>
      <w:r>
        <w:rPr>
          <w:rFonts w:ascii="Times New Roman" w:hAnsi="Times New Roman" w:cs="Times New Roman"/>
          <w:lang w:val="de-DE"/>
        </w:rPr>
        <w:t>Amyloid</w:t>
      </w:r>
      <w:r w:rsidR="00582BEF">
        <w:rPr>
          <w:rFonts w:ascii="Times New Roman" w:hAnsi="Times New Roman" w:cs="Times New Roman"/>
          <w:lang w:val="de-DE"/>
        </w:rPr>
        <w:t xml:space="preserve"> </w:t>
      </w:r>
      <w:r>
        <w:rPr>
          <w:rFonts w:ascii="Times New Roman" w:hAnsi="Times New Roman" w:cs="Times New Roman"/>
          <w:lang w:val="de-DE"/>
        </w:rPr>
        <w:t>gerichteten Therapien</w:t>
      </w:r>
      <w:r w:rsidRPr="005D1555">
        <w:rPr>
          <w:rFonts w:ascii="Times New Roman" w:hAnsi="Times New Roman" w:cs="Times New Roman"/>
          <w:lang w:val="de-DE"/>
        </w:rPr>
        <w:t>. Erforderlich ist eine differenzierte, patientenzentrierte und versorgungsnahe Bewertung</w:t>
      </w:r>
      <w:r>
        <w:rPr>
          <w:rFonts w:ascii="Times New Roman" w:hAnsi="Times New Roman" w:cs="Times New Roman"/>
          <w:lang w:val="de-DE"/>
        </w:rPr>
        <w:t>, die zum größten Teil durch den Zulassungsproze</w:t>
      </w:r>
      <w:r w:rsidR="001914E1">
        <w:rPr>
          <w:rFonts w:ascii="Times New Roman" w:hAnsi="Times New Roman" w:cs="Times New Roman"/>
          <w:lang w:val="de-DE"/>
        </w:rPr>
        <w:t>ss</w:t>
      </w:r>
      <w:r>
        <w:rPr>
          <w:rFonts w:ascii="Times New Roman" w:hAnsi="Times New Roman" w:cs="Times New Roman"/>
          <w:lang w:val="de-DE"/>
        </w:rPr>
        <w:t xml:space="preserve"> für die Medikamente und über Leitlinienentscheidungen gesichert wird</w:t>
      </w:r>
      <w:r w:rsidRPr="005D1555">
        <w:rPr>
          <w:rFonts w:ascii="Times New Roman" w:hAnsi="Times New Roman" w:cs="Times New Roman"/>
          <w:lang w:val="de-DE"/>
        </w:rPr>
        <w:t>. Dazu gehören eine gesicherte Diagnose der Alzheimer-Krankheit im frühen Stadium, der Nachweis einer Amyloid-Pathologie, die Berücksichtigung genetischer und radiologischer Risikofaktoren, eine standardisierte Aufklärung, eine enge klinische und MRT-basierte Überwachung sowie eine Behandlung in spezialisierten, interdisziplinär arbeitenden Strukturen.</w:t>
      </w:r>
      <w:r>
        <w:rPr>
          <w:rFonts w:ascii="Times New Roman" w:hAnsi="Times New Roman" w:cs="Times New Roman"/>
          <w:lang w:val="de-DE"/>
        </w:rPr>
        <w:t xml:space="preserve"> Ob die Substanzen dann im Versorgungsprozess als gesellschaftlich relevant und kosteneffizient eingeschätzt werden, wird </w:t>
      </w:r>
      <w:r w:rsidR="00582BEF">
        <w:rPr>
          <w:rFonts w:ascii="Times New Roman" w:hAnsi="Times New Roman" w:cs="Times New Roman"/>
          <w:lang w:val="de-DE"/>
        </w:rPr>
        <w:t>im Verlauf überprüft und</w:t>
      </w:r>
      <w:r>
        <w:rPr>
          <w:rFonts w:ascii="Times New Roman" w:hAnsi="Times New Roman" w:cs="Times New Roman"/>
          <w:lang w:val="de-DE"/>
        </w:rPr>
        <w:t xml:space="preserve"> bewertet</w:t>
      </w:r>
      <w:r w:rsidR="00582BEF">
        <w:rPr>
          <w:rFonts w:ascii="Times New Roman" w:hAnsi="Times New Roman" w:cs="Times New Roman"/>
          <w:lang w:val="de-DE"/>
        </w:rPr>
        <w:t xml:space="preserve"> werden müssen</w:t>
      </w:r>
      <w:r>
        <w:rPr>
          <w:rFonts w:ascii="Times New Roman" w:hAnsi="Times New Roman" w:cs="Times New Roman"/>
          <w:lang w:val="de-DE"/>
        </w:rPr>
        <w:t>.</w:t>
      </w:r>
    </w:p>
    <w:p w14:paraId="49FFB2C1" w14:textId="291DC391" w:rsidR="005B5EAD" w:rsidRPr="001914E1" w:rsidRDefault="004F25A3" w:rsidP="005D1555">
      <w:pPr>
        <w:jc w:val="both"/>
        <w:rPr>
          <w:rFonts w:ascii="Times New Roman" w:hAnsi="Times New Roman" w:cs="Times New Roman"/>
          <w:u w:val="single"/>
          <w:lang w:val="de-DE"/>
        </w:rPr>
      </w:pPr>
      <w:r w:rsidRPr="001914E1">
        <w:rPr>
          <w:rFonts w:ascii="Times New Roman" w:hAnsi="Times New Roman" w:cs="Times New Roman"/>
          <w:u w:val="single"/>
          <w:lang w:val="de-DE"/>
        </w:rPr>
        <w:t xml:space="preserve">Gedächtnisambulanzen sind für die Aufgaben der Durchführung einer evidenzbasierten Alzheimer-Therapie besonders geeignet. Sie verfügen über Erfahrung in der frühen Diagnostik, in der </w:t>
      </w:r>
      <w:proofErr w:type="spellStart"/>
      <w:r w:rsidRPr="001914E1">
        <w:rPr>
          <w:rFonts w:ascii="Times New Roman" w:hAnsi="Times New Roman" w:cs="Times New Roman"/>
          <w:u w:val="single"/>
          <w:lang w:val="de-DE"/>
        </w:rPr>
        <w:t>biomarkerbasierten</w:t>
      </w:r>
      <w:proofErr w:type="spellEnd"/>
      <w:r w:rsidRPr="001914E1">
        <w:rPr>
          <w:rFonts w:ascii="Times New Roman" w:hAnsi="Times New Roman" w:cs="Times New Roman"/>
          <w:u w:val="single"/>
          <w:lang w:val="de-DE"/>
        </w:rPr>
        <w:t xml:space="preserve"> Abklärung, in der Einordnung von Komorbiditäten und in der Begleitung komplexer Behandlungsentscheidungen. Mit dem Aufkommen neuer </w:t>
      </w:r>
      <w:r w:rsidR="005D1555" w:rsidRPr="001914E1">
        <w:rPr>
          <w:rFonts w:ascii="Times New Roman" w:hAnsi="Times New Roman" w:cs="Times New Roman"/>
          <w:u w:val="single"/>
          <w:lang w:val="de-DE"/>
        </w:rPr>
        <w:t xml:space="preserve">potenziell </w:t>
      </w:r>
      <w:r w:rsidRPr="001914E1">
        <w:rPr>
          <w:rFonts w:ascii="Times New Roman" w:hAnsi="Times New Roman" w:cs="Times New Roman"/>
          <w:u w:val="single"/>
          <w:lang w:val="de-DE"/>
        </w:rPr>
        <w:t>krankheitsmodifizierender Therapien kommt ihnen darüber hinaus eine wachsende Rolle bei Indikationsstellung, Sicherheitsmonitoring, Dokumentation von Nebenwirkungen und Evaluation der Versorgungspraxis zu.</w:t>
      </w:r>
    </w:p>
    <w:p w14:paraId="717974F8" w14:textId="3683CC83" w:rsidR="005B5EAD" w:rsidRPr="005D1555" w:rsidRDefault="00582BEF" w:rsidP="005D1555">
      <w:pPr>
        <w:jc w:val="both"/>
        <w:rPr>
          <w:rFonts w:ascii="Times New Roman" w:hAnsi="Times New Roman" w:cs="Times New Roman"/>
          <w:lang w:val="de-DE"/>
        </w:rPr>
      </w:pPr>
      <w:r>
        <w:rPr>
          <w:rFonts w:ascii="Times New Roman" w:hAnsi="Times New Roman" w:cs="Times New Roman"/>
          <w:lang w:val="de-DE"/>
        </w:rPr>
        <w:t>Das DNG</w:t>
      </w:r>
      <w:r w:rsidR="004F25A3" w:rsidRPr="005D1555">
        <w:rPr>
          <w:rFonts w:ascii="Times New Roman" w:hAnsi="Times New Roman" w:cs="Times New Roman"/>
          <w:lang w:val="de-DE"/>
        </w:rPr>
        <w:t xml:space="preserve"> plädiert deshalb für eine sachliche Debatte, die Zulassung, Nutzenbewertung, Meta-Analyse und klinische Versorgungspraxis klar voneinander trennt. Weder der G-BA-Beschluss zu </w:t>
      </w:r>
      <w:proofErr w:type="spellStart"/>
      <w:r w:rsidR="004F25A3" w:rsidRPr="005D1555">
        <w:rPr>
          <w:rFonts w:ascii="Times New Roman" w:hAnsi="Times New Roman" w:cs="Times New Roman"/>
          <w:lang w:val="de-DE"/>
        </w:rPr>
        <w:t>Donanemab</w:t>
      </w:r>
      <w:proofErr w:type="spellEnd"/>
      <w:r w:rsidR="004F25A3" w:rsidRPr="005D1555">
        <w:rPr>
          <w:rFonts w:ascii="Times New Roman" w:hAnsi="Times New Roman" w:cs="Times New Roman"/>
          <w:lang w:val="de-DE"/>
        </w:rPr>
        <w:t xml:space="preserve"> noch das Cochrane-Review sollten in eine generelle Ablehnung </w:t>
      </w:r>
      <w:r>
        <w:rPr>
          <w:rFonts w:ascii="Times New Roman" w:hAnsi="Times New Roman" w:cs="Times New Roman"/>
          <w:lang w:val="de-DE"/>
        </w:rPr>
        <w:t xml:space="preserve">von gegen </w:t>
      </w:r>
      <w:r w:rsidR="004F25A3">
        <w:rPr>
          <w:rFonts w:ascii="Times New Roman" w:hAnsi="Times New Roman" w:cs="Times New Roman"/>
          <w:lang w:val="de-DE"/>
        </w:rPr>
        <w:t>A</w:t>
      </w:r>
      <w:r w:rsidR="004F25A3" w:rsidRPr="005D1555">
        <w:rPr>
          <w:rFonts w:ascii="Times New Roman" w:hAnsi="Times New Roman" w:cs="Times New Roman"/>
          <w:lang w:val="de-DE"/>
        </w:rPr>
        <w:t>myloid gerichtete</w:t>
      </w:r>
      <w:r>
        <w:rPr>
          <w:rFonts w:ascii="Times New Roman" w:hAnsi="Times New Roman" w:cs="Times New Roman"/>
          <w:lang w:val="de-DE"/>
        </w:rPr>
        <w:t>n</w:t>
      </w:r>
      <w:r w:rsidR="004F25A3" w:rsidRPr="005D1555">
        <w:rPr>
          <w:rFonts w:ascii="Times New Roman" w:hAnsi="Times New Roman" w:cs="Times New Roman"/>
          <w:lang w:val="de-DE"/>
        </w:rPr>
        <w:t xml:space="preserve"> Therapien umgedeutet </w:t>
      </w:r>
      <w:r w:rsidR="004F25A3" w:rsidRPr="005D1555">
        <w:rPr>
          <w:rFonts w:ascii="Times New Roman" w:hAnsi="Times New Roman" w:cs="Times New Roman"/>
          <w:lang w:val="de-DE"/>
        </w:rPr>
        <w:lastRenderedPageBreak/>
        <w:t>werden. Gleichzeitig müssen Sicherheitsfragen, Implementierungsanforderungen und die Grenzen der bisher vorliegenden Evidenz transparent benannt werden.</w:t>
      </w:r>
    </w:p>
    <w:p w14:paraId="5B894CA5" w14:textId="77777777" w:rsidR="005B5EAD" w:rsidRDefault="004F25A3" w:rsidP="005D1555">
      <w:pPr>
        <w:jc w:val="both"/>
        <w:rPr>
          <w:rFonts w:ascii="Times New Roman" w:hAnsi="Times New Roman" w:cs="Times New Roman"/>
          <w:lang w:val="de-DE"/>
        </w:rPr>
      </w:pPr>
      <w:r w:rsidRPr="005D1555">
        <w:rPr>
          <w:rFonts w:ascii="Times New Roman" w:hAnsi="Times New Roman" w:cs="Times New Roman"/>
          <w:lang w:val="de-DE"/>
        </w:rPr>
        <w:t>Unser Ziel ist eine evidenzbasierte und verantwortungsvolle Einführung neuer Therapien: streng in der Indikationsstellung, konsequent in der Sicherheitsüberwachung, realistisch in der Kommunikation gegenüber Betroffenen und Angehörigen und offen für die fortlaufende Neubewertung anhand weiterer Studien- und Versorgungsdaten.</w:t>
      </w:r>
    </w:p>
    <w:p w14:paraId="54514C5E" w14:textId="6C3D2CEA" w:rsidR="00237690" w:rsidRPr="00237690" w:rsidRDefault="00237690" w:rsidP="005D1555">
      <w:pPr>
        <w:jc w:val="both"/>
        <w:rPr>
          <w:rFonts w:ascii="Times New Roman" w:hAnsi="Times New Roman" w:cs="Times New Roman"/>
          <w:lang w:val="de-DE"/>
        </w:rPr>
      </w:pPr>
      <w:r w:rsidRPr="00237690">
        <w:rPr>
          <w:rFonts w:ascii="Times New Roman" w:hAnsi="Times New Roman" w:cs="Times New Roman"/>
          <w:lang w:val="de-DE"/>
        </w:rPr>
        <w:t xml:space="preserve">Unsere Kritik </w:t>
      </w:r>
      <w:r>
        <w:rPr>
          <w:rFonts w:ascii="Times New Roman" w:hAnsi="Times New Roman" w:cs="Times New Roman"/>
          <w:lang w:val="de-DE"/>
        </w:rPr>
        <w:t xml:space="preserve">der Cochrane Veröffentlichung </w:t>
      </w:r>
      <w:r w:rsidRPr="00237690">
        <w:rPr>
          <w:rFonts w:ascii="Times New Roman" w:hAnsi="Times New Roman" w:cs="Times New Roman"/>
          <w:lang w:val="de-DE"/>
        </w:rPr>
        <w:t xml:space="preserve">richtet sich ausschließlich gegen die </w:t>
      </w:r>
      <w:r w:rsidR="009669F1">
        <w:rPr>
          <w:rFonts w:ascii="Times New Roman" w:hAnsi="Times New Roman" w:cs="Times New Roman"/>
          <w:lang w:val="de-DE"/>
        </w:rPr>
        <w:t xml:space="preserve">falsche Fragestellung </w:t>
      </w:r>
      <w:r w:rsidRPr="00237690">
        <w:rPr>
          <w:rFonts w:ascii="Times New Roman" w:hAnsi="Times New Roman" w:cs="Times New Roman"/>
          <w:lang w:val="de-DE"/>
        </w:rPr>
        <w:t>des Reviews und die Reichweite seiner Schlussfolgerungen; sie ist unabhängig von regulatorischen oder öffentlichen Funktionen einzelner Autorinnen und Autoren zu verstehen.</w:t>
      </w:r>
    </w:p>
    <w:p w14:paraId="72313685" w14:textId="5B3FB1A8" w:rsidR="005B5EAD" w:rsidRPr="005D1555" w:rsidRDefault="004F25A3" w:rsidP="005D1555">
      <w:pPr>
        <w:pStyle w:val="berschrift1"/>
        <w:jc w:val="both"/>
        <w:rPr>
          <w:rFonts w:ascii="Times New Roman" w:hAnsi="Times New Roman" w:cs="Times New Roman"/>
          <w:color w:val="auto"/>
          <w:sz w:val="22"/>
          <w:szCs w:val="22"/>
          <w:lang w:val="de-DE"/>
        </w:rPr>
      </w:pPr>
      <w:r w:rsidRPr="005D1555">
        <w:rPr>
          <w:rFonts w:ascii="Times New Roman" w:hAnsi="Times New Roman" w:cs="Times New Roman"/>
          <w:color w:val="auto"/>
          <w:sz w:val="22"/>
          <w:szCs w:val="22"/>
          <w:lang w:val="de-DE"/>
        </w:rPr>
        <w:t xml:space="preserve">Ausgewählte Quellen </w:t>
      </w:r>
    </w:p>
    <w:p w14:paraId="650589F8" w14:textId="77777777" w:rsidR="005B5EAD" w:rsidRPr="005D1555" w:rsidRDefault="004F25A3" w:rsidP="005D1555">
      <w:pPr>
        <w:pStyle w:val="Listennummer"/>
        <w:jc w:val="both"/>
        <w:rPr>
          <w:rFonts w:ascii="Times New Roman" w:hAnsi="Times New Roman" w:cs="Times New Roman"/>
          <w:lang w:val="de-DE"/>
        </w:rPr>
      </w:pPr>
      <w:r w:rsidRPr="005D1555">
        <w:rPr>
          <w:rFonts w:ascii="Times New Roman" w:hAnsi="Times New Roman" w:cs="Times New Roman"/>
          <w:lang w:val="de-DE"/>
        </w:rPr>
        <w:t>Gemeinsamer Bundesausschuss (G-BA): Zweiter neuer Alzheimer-Wirkstoff ebenfalls ohne belegten Zusatznutzen – Bewertungsergebnis des G-BA ist Basis für Preisverhandlung, 16.04.2026. https://www.g-ba.de/presse/pressemitteilungen-meldungen/1325/</w:t>
      </w:r>
    </w:p>
    <w:p w14:paraId="208AE076" w14:textId="77777777" w:rsidR="005B5EAD" w:rsidRPr="005D1555" w:rsidRDefault="004F25A3" w:rsidP="005D1555">
      <w:pPr>
        <w:pStyle w:val="Listennummer"/>
        <w:jc w:val="both"/>
        <w:rPr>
          <w:rFonts w:ascii="Times New Roman" w:hAnsi="Times New Roman" w:cs="Times New Roman"/>
          <w:lang w:val="de-DE"/>
        </w:rPr>
      </w:pPr>
      <w:r w:rsidRPr="005D1555">
        <w:rPr>
          <w:rFonts w:ascii="Times New Roman" w:hAnsi="Times New Roman" w:cs="Times New Roman"/>
          <w:lang w:val="de-DE"/>
        </w:rPr>
        <w:t xml:space="preserve">Gemeinsamer Bundesausschuss (G-BA): Tragende Gründe zum Beschluss </w:t>
      </w:r>
      <w:proofErr w:type="spellStart"/>
      <w:r w:rsidRPr="005D1555">
        <w:rPr>
          <w:rFonts w:ascii="Times New Roman" w:hAnsi="Times New Roman" w:cs="Times New Roman"/>
          <w:lang w:val="de-DE"/>
        </w:rPr>
        <w:t>Donanemab</w:t>
      </w:r>
      <w:proofErr w:type="spellEnd"/>
      <w:r w:rsidRPr="005D1555">
        <w:rPr>
          <w:rFonts w:ascii="Times New Roman" w:hAnsi="Times New Roman" w:cs="Times New Roman"/>
          <w:lang w:val="de-DE"/>
        </w:rPr>
        <w:t xml:space="preserve"> (frühe Alzheimer-Krankheit) vom 16.04.2026. https://www.g-ba.de/downloads/40-268-12549/2026-04-16_AM-RL-XII_Donanemab_D-1254_TrG.pdf</w:t>
      </w:r>
    </w:p>
    <w:p w14:paraId="0AD1E1E4" w14:textId="77777777" w:rsidR="005B5EAD" w:rsidRPr="005D1555" w:rsidRDefault="004F25A3" w:rsidP="005D1555">
      <w:pPr>
        <w:pStyle w:val="Listennummer"/>
        <w:jc w:val="both"/>
        <w:rPr>
          <w:rFonts w:ascii="Times New Roman" w:hAnsi="Times New Roman" w:cs="Times New Roman"/>
        </w:rPr>
      </w:pPr>
      <w:r w:rsidRPr="005D1555">
        <w:rPr>
          <w:rFonts w:ascii="Times New Roman" w:hAnsi="Times New Roman" w:cs="Times New Roman"/>
        </w:rPr>
        <w:t xml:space="preserve">Cochrane Database of Systematic Reviews: </w:t>
      </w:r>
      <w:proofErr w:type="spellStart"/>
      <w:r w:rsidRPr="005D1555">
        <w:rPr>
          <w:rFonts w:ascii="Times New Roman" w:hAnsi="Times New Roman" w:cs="Times New Roman"/>
        </w:rPr>
        <w:t>Nonino</w:t>
      </w:r>
      <w:proofErr w:type="spellEnd"/>
      <w:r w:rsidRPr="005D1555">
        <w:rPr>
          <w:rFonts w:ascii="Times New Roman" w:hAnsi="Times New Roman" w:cs="Times New Roman"/>
        </w:rPr>
        <w:t xml:space="preserve"> F et al. Amyloid-beta-targeting monoclonal antibodies for people with mild cognitive impairment or mild dementia due to Alzheimer’s disease. 2026, Issue 4, Art. No.: CD016297. https://www.cochrane.org/evidence/CD016297_are-medicines-anti-amyloid-monoclonal-antibodies-reduce-build-abnormal-proteins-brain-effective</w:t>
      </w:r>
    </w:p>
    <w:p w14:paraId="30D3A532" w14:textId="77777777" w:rsidR="005B5EAD" w:rsidRPr="005D1555" w:rsidRDefault="004F25A3" w:rsidP="005D1555">
      <w:pPr>
        <w:pStyle w:val="Listennummer"/>
        <w:jc w:val="both"/>
        <w:rPr>
          <w:rFonts w:ascii="Times New Roman" w:hAnsi="Times New Roman" w:cs="Times New Roman"/>
        </w:rPr>
      </w:pPr>
      <w:r w:rsidRPr="005D1555">
        <w:rPr>
          <w:rFonts w:ascii="Times New Roman" w:hAnsi="Times New Roman" w:cs="Times New Roman"/>
        </w:rPr>
        <w:t>Alzheimer’s Society: New Cochrane review of amyloid targeting Alzheimer’s disease treatments, 16.04.2026. https://www.alzheimers.org.uk/news/2026-04-16/new-cochrane-review-amyloid-targeting-alzheimers-disease-treatments</w:t>
      </w:r>
    </w:p>
    <w:p w14:paraId="42753FF0" w14:textId="77777777" w:rsidR="005B5EAD" w:rsidRPr="005D1555" w:rsidRDefault="004F25A3" w:rsidP="005D1555">
      <w:pPr>
        <w:pStyle w:val="Listennummer"/>
        <w:jc w:val="both"/>
        <w:rPr>
          <w:rFonts w:ascii="Times New Roman" w:hAnsi="Times New Roman" w:cs="Times New Roman"/>
          <w:lang w:val="de-DE"/>
        </w:rPr>
      </w:pPr>
      <w:r w:rsidRPr="005D1555">
        <w:rPr>
          <w:rFonts w:ascii="Times New Roman" w:hAnsi="Times New Roman" w:cs="Times New Roman"/>
          <w:lang w:val="de-DE"/>
        </w:rPr>
        <w:t>AWMF / DGN / DGPPN: S3-Leitlinie Demenzen, Version 6.0, Fassung vom 24.02.2026. https://register.awmf.org/de/leitlinien/detail/038-013</w:t>
      </w:r>
    </w:p>
    <w:p w14:paraId="2CE88733" w14:textId="11EF9630" w:rsidR="005B5EAD" w:rsidRPr="005D1555" w:rsidRDefault="004F25A3" w:rsidP="005D1555">
      <w:pPr>
        <w:pStyle w:val="Listennummer"/>
        <w:jc w:val="both"/>
        <w:rPr>
          <w:rFonts w:ascii="Times New Roman" w:hAnsi="Times New Roman" w:cs="Times New Roman"/>
        </w:rPr>
      </w:pPr>
      <w:r w:rsidRPr="005D1555">
        <w:rPr>
          <w:rFonts w:ascii="Times New Roman" w:hAnsi="Times New Roman" w:cs="Times New Roman"/>
        </w:rPr>
        <w:t xml:space="preserve">European Medicines Agency (EMA): </w:t>
      </w:r>
      <w:proofErr w:type="spellStart"/>
      <w:r w:rsidRPr="005D1555">
        <w:rPr>
          <w:rFonts w:ascii="Times New Roman" w:hAnsi="Times New Roman" w:cs="Times New Roman"/>
        </w:rPr>
        <w:t>Kisunla</w:t>
      </w:r>
      <w:proofErr w:type="spellEnd"/>
      <w:r w:rsidRPr="005D1555">
        <w:rPr>
          <w:rFonts w:ascii="Times New Roman" w:hAnsi="Times New Roman" w:cs="Times New Roman"/>
        </w:rPr>
        <w:t xml:space="preserve"> (donanemab), EPAR / Overview. https://www.ema.europa.eu/en/medicines/human/EPAR/kisunla</w:t>
      </w:r>
    </w:p>
    <w:sectPr w:rsidR="005B5EAD" w:rsidRPr="005D1555" w:rsidSect="00034616">
      <w:pgSz w:w="12240" w:h="15840"/>
      <w:pgMar w:top="1247" w:right="1361" w:bottom="1247" w:left="136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ennumm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ennumm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Aufzhlungszeichen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Aufzhlungszeichen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696269940">
    <w:abstractNumId w:val="8"/>
  </w:num>
  <w:num w:numId="2" w16cid:durableId="923614770">
    <w:abstractNumId w:val="6"/>
  </w:num>
  <w:num w:numId="3" w16cid:durableId="2032561888">
    <w:abstractNumId w:val="5"/>
  </w:num>
  <w:num w:numId="4" w16cid:durableId="983003669">
    <w:abstractNumId w:val="4"/>
  </w:num>
  <w:num w:numId="5" w16cid:durableId="227958137">
    <w:abstractNumId w:val="7"/>
  </w:num>
  <w:num w:numId="6" w16cid:durableId="1973905761">
    <w:abstractNumId w:val="3"/>
  </w:num>
  <w:num w:numId="7" w16cid:durableId="1573158112">
    <w:abstractNumId w:val="2"/>
  </w:num>
  <w:num w:numId="8" w16cid:durableId="655188333">
    <w:abstractNumId w:val="1"/>
  </w:num>
  <w:num w:numId="9" w16cid:durableId="5313780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4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090574"/>
    <w:rsid w:val="000A2191"/>
    <w:rsid w:val="000B08D4"/>
    <w:rsid w:val="0010105F"/>
    <w:rsid w:val="0015074B"/>
    <w:rsid w:val="001914E1"/>
    <w:rsid w:val="00224244"/>
    <w:rsid w:val="00237690"/>
    <w:rsid w:val="0029639D"/>
    <w:rsid w:val="002D7972"/>
    <w:rsid w:val="003120C2"/>
    <w:rsid w:val="00326F90"/>
    <w:rsid w:val="0038120E"/>
    <w:rsid w:val="003B29FB"/>
    <w:rsid w:val="003B2DAD"/>
    <w:rsid w:val="003E3C79"/>
    <w:rsid w:val="004E3003"/>
    <w:rsid w:val="004F25A3"/>
    <w:rsid w:val="0056587E"/>
    <w:rsid w:val="00582BEF"/>
    <w:rsid w:val="005B5EAD"/>
    <w:rsid w:val="005D1555"/>
    <w:rsid w:val="005D29C4"/>
    <w:rsid w:val="005F1362"/>
    <w:rsid w:val="00637436"/>
    <w:rsid w:val="006734F9"/>
    <w:rsid w:val="006F3954"/>
    <w:rsid w:val="006F3BF3"/>
    <w:rsid w:val="00793B47"/>
    <w:rsid w:val="007A65F8"/>
    <w:rsid w:val="00803831"/>
    <w:rsid w:val="00803D82"/>
    <w:rsid w:val="008A1EA9"/>
    <w:rsid w:val="008C5DFF"/>
    <w:rsid w:val="009669F1"/>
    <w:rsid w:val="00971E58"/>
    <w:rsid w:val="00A53509"/>
    <w:rsid w:val="00A9468E"/>
    <w:rsid w:val="00AA1D8D"/>
    <w:rsid w:val="00AF69BE"/>
    <w:rsid w:val="00B42A08"/>
    <w:rsid w:val="00B47730"/>
    <w:rsid w:val="00CB0664"/>
    <w:rsid w:val="00EB126D"/>
    <w:rsid w:val="00EF0954"/>
    <w:rsid w:val="00EF22F2"/>
    <w:rsid w:val="00F47CBC"/>
    <w:rsid w:val="00F76FAC"/>
    <w:rsid w:val="00FC693F"/>
    <w:rsid w:val="00FD3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DACE6C9"/>
  <w14:defaultImageDpi w14:val="300"/>
  <w15:docId w15:val="{F9719CA3-CA20-804E-A5C1-D1F9A56A5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C693F"/>
    <w:rPr>
      <w:rFonts w:ascii="Calibri" w:hAnsi="Calibri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618BF"/>
  </w:style>
  <w:style w:type="paragraph" w:styleId="Fuzeile">
    <w:name w:val="footer"/>
    <w:basedOn w:val="Standard"/>
    <w:link w:val="FuzeileZchn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618BF"/>
  </w:style>
  <w:style w:type="paragraph" w:styleId="KeinLeerraum">
    <w:name w:val="No Spacing"/>
    <w:uiPriority w:val="1"/>
    <w:qFormat/>
    <w:rsid w:val="00FC693F"/>
    <w:pPr>
      <w:spacing w:after="0" w:line="240" w:lineRule="auto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el">
    <w:name w:val="Title"/>
    <w:basedOn w:val="Standard"/>
    <w:next w:val="Standard"/>
    <w:link w:val="TitelZchn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enabsatz">
    <w:name w:val="List Paragraph"/>
    <w:basedOn w:val="Standard"/>
    <w:uiPriority w:val="34"/>
    <w:qFormat/>
    <w:rsid w:val="00FC693F"/>
    <w:pPr>
      <w:ind w:left="720"/>
      <w:contextualSpacing/>
    </w:pPr>
  </w:style>
  <w:style w:type="paragraph" w:styleId="Textkrper">
    <w:name w:val="Body Text"/>
    <w:basedOn w:val="Standard"/>
    <w:link w:val="TextkrperZchn"/>
    <w:uiPriority w:val="99"/>
    <w:unhideWhenUsed/>
    <w:rsid w:val="00AA1D8D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rsid w:val="00AA1D8D"/>
  </w:style>
  <w:style w:type="paragraph" w:styleId="Textkrper2">
    <w:name w:val="Body Text 2"/>
    <w:basedOn w:val="Standard"/>
    <w:link w:val="Textkrper2Zchn"/>
    <w:uiPriority w:val="99"/>
    <w:unhideWhenUsed/>
    <w:rsid w:val="00AA1D8D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rsid w:val="00AA1D8D"/>
  </w:style>
  <w:style w:type="paragraph" w:styleId="Textkrper3">
    <w:name w:val="Body Text 3"/>
    <w:basedOn w:val="Standard"/>
    <w:link w:val="Textkrper3Zchn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rsid w:val="00AA1D8D"/>
    <w:rPr>
      <w:sz w:val="16"/>
      <w:szCs w:val="16"/>
    </w:rPr>
  </w:style>
  <w:style w:type="paragraph" w:styleId="Liste">
    <w:name w:val="List"/>
    <w:basedOn w:val="Standard"/>
    <w:uiPriority w:val="99"/>
    <w:unhideWhenUsed/>
    <w:rsid w:val="00AA1D8D"/>
    <w:pPr>
      <w:ind w:left="360" w:hanging="360"/>
      <w:contextualSpacing/>
    </w:pPr>
  </w:style>
  <w:style w:type="paragraph" w:styleId="Liste2">
    <w:name w:val="List 2"/>
    <w:basedOn w:val="Standard"/>
    <w:uiPriority w:val="99"/>
    <w:unhideWhenUsed/>
    <w:rsid w:val="00326F90"/>
    <w:pPr>
      <w:ind w:left="720" w:hanging="360"/>
      <w:contextualSpacing/>
    </w:pPr>
  </w:style>
  <w:style w:type="paragraph" w:styleId="Liste3">
    <w:name w:val="List 3"/>
    <w:basedOn w:val="Standard"/>
    <w:uiPriority w:val="99"/>
    <w:unhideWhenUsed/>
    <w:rsid w:val="00326F90"/>
    <w:pPr>
      <w:ind w:left="1080" w:hanging="360"/>
      <w:contextualSpacing/>
    </w:pPr>
  </w:style>
  <w:style w:type="paragraph" w:styleId="Aufzhlungszeichen">
    <w:name w:val="List Bullet"/>
    <w:basedOn w:val="Standard"/>
    <w:uiPriority w:val="99"/>
    <w:unhideWhenUsed/>
    <w:rsid w:val="00326F90"/>
    <w:pPr>
      <w:numPr>
        <w:numId w:val="1"/>
      </w:numPr>
      <w:contextualSpacing/>
    </w:pPr>
  </w:style>
  <w:style w:type="paragraph" w:styleId="Aufzhlungszeichen2">
    <w:name w:val="List Bullet 2"/>
    <w:basedOn w:val="Standard"/>
    <w:uiPriority w:val="99"/>
    <w:unhideWhenUsed/>
    <w:rsid w:val="00326F90"/>
    <w:pPr>
      <w:numPr>
        <w:numId w:val="2"/>
      </w:numPr>
      <w:contextualSpacing/>
    </w:pPr>
  </w:style>
  <w:style w:type="paragraph" w:styleId="Aufzhlungszeichen3">
    <w:name w:val="List Bullet 3"/>
    <w:basedOn w:val="Standard"/>
    <w:uiPriority w:val="99"/>
    <w:unhideWhenUsed/>
    <w:rsid w:val="00326F90"/>
    <w:pPr>
      <w:numPr>
        <w:numId w:val="3"/>
      </w:numPr>
      <w:contextualSpacing/>
    </w:pPr>
  </w:style>
  <w:style w:type="paragraph" w:styleId="Listennummer">
    <w:name w:val="List Number"/>
    <w:basedOn w:val="Standard"/>
    <w:uiPriority w:val="99"/>
    <w:unhideWhenUsed/>
    <w:rsid w:val="00326F90"/>
    <w:pPr>
      <w:numPr>
        <w:numId w:val="5"/>
      </w:numPr>
      <w:contextualSpacing/>
    </w:pPr>
  </w:style>
  <w:style w:type="paragraph" w:styleId="Listennummer2">
    <w:name w:val="List Number 2"/>
    <w:basedOn w:val="Standard"/>
    <w:uiPriority w:val="99"/>
    <w:unhideWhenUsed/>
    <w:rsid w:val="0029639D"/>
    <w:pPr>
      <w:numPr>
        <w:numId w:val="6"/>
      </w:numPr>
      <w:contextualSpacing/>
    </w:pPr>
  </w:style>
  <w:style w:type="paragraph" w:styleId="Listennummer3">
    <w:name w:val="List Number 3"/>
    <w:basedOn w:val="Standard"/>
    <w:uiPriority w:val="99"/>
    <w:unhideWhenUsed/>
    <w:rsid w:val="0029639D"/>
    <w:pPr>
      <w:numPr>
        <w:numId w:val="7"/>
      </w:numPr>
      <w:contextualSpacing/>
    </w:pPr>
  </w:style>
  <w:style w:type="paragraph" w:styleId="Listenfortsetzung">
    <w:name w:val="List Continue"/>
    <w:basedOn w:val="Standard"/>
    <w:uiPriority w:val="99"/>
    <w:unhideWhenUsed/>
    <w:rsid w:val="0029639D"/>
    <w:pPr>
      <w:spacing w:after="120"/>
      <w:ind w:left="360"/>
      <w:contextualSpacing/>
    </w:pPr>
  </w:style>
  <w:style w:type="paragraph" w:styleId="Listenfortsetzung2">
    <w:name w:val="List Continue 2"/>
    <w:basedOn w:val="Standard"/>
    <w:uiPriority w:val="99"/>
    <w:unhideWhenUsed/>
    <w:rsid w:val="0029639D"/>
    <w:pPr>
      <w:spacing w:after="120"/>
      <w:ind w:left="720"/>
      <w:contextualSpacing/>
    </w:pPr>
  </w:style>
  <w:style w:type="paragraph" w:styleId="Listenfortsetzung3">
    <w:name w:val="List Continue 3"/>
    <w:basedOn w:val="Standard"/>
    <w:uiPriority w:val="99"/>
    <w:unhideWhenUsed/>
    <w:rsid w:val="0029639D"/>
    <w:pPr>
      <w:spacing w:after="120"/>
      <w:ind w:left="1080"/>
      <w:contextualSpacing/>
    </w:pPr>
  </w:style>
  <w:style w:type="paragraph" w:styleId="Makrotext">
    <w:name w:val="macro"/>
    <w:link w:val="MakrotextZchn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rsid w:val="0029639D"/>
    <w:rPr>
      <w:rFonts w:ascii="Courier" w:hAnsi="Courier"/>
      <w:sz w:val="20"/>
      <w:szCs w:val="20"/>
    </w:rPr>
  </w:style>
  <w:style w:type="paragraph" w:styleId="Zitat">
    <w:name w:val="Quote"/>
    <w:basedOn w:val="Standard"/>
    <w:next w:val="Standard"/>
    <w:link w:val="ZitatZchn"/>
    <w:uiPriority w:val="29"/>
    <w:qFormat/>
    <w:rsid w:val="00FC693F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rsid w:val="00FC693F"/>
    <w:rPr>
      <w:i/>
      <w:iCs/>
      <w:color w:val="000000" w:themeColor="text1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Fett">
    <w:name w:val="Strong"/>
    <w:basedOn w:val="Absatz-Standardschriftart"/>
    <w:uiPriority w:val="22"/>
    <w:qFormat/>
    <w:rsid w:val="00FC693F"/>
    <w:rPr>
      <w:b/>
      <w:bCs/>
    </w:rPr>
  </w:style>
  <w:style w:type="character" w:styleId="Hervorhebung">
    <w:name w:val="Emphasis"/>
    <w:basedOn w:val="Absatz-Standardschriftart"/>
    <w:uiPriority w:val="20"/>
    <w:qFormat/>
    <w:rsid w:val="00FC693F"/>
    <w:rPr>
      <w:i/>
      <w:iCs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C693F"/>
    <w:rPr>
      <w:b/>
      <w:bCs/>
      <w:i/>
      <w:iCs/>
      <w:color w:val="4F81BD" w:themeColor="accent1"/>
    </w:rPr>
  </w:style>
  <w:style w:type="character" w:styleId="SchwacheHervorhebung">
    <w:name w:val="Subtle Emphasis"/>
    <w:basedOn w:val="Absatz-Standardschriftart"/>
    <w:uiPriority w:val="19"/>
    <w:qFormat/>
    <w:rsid w:val="00FC693F"/>
    <w:rPr>
      <w:i/>
      <w:iCs/>
      <w:color w:val="808080" w:themeColor="text1" w:themeTint="7F"/>
    </w:rPr>
  </w:style>
  <w:style w:type="character" w:styleId="IntensiveHervorhebung">
    <w:name w:val="Intense Emphasis"/>
    <w:basedOn w:val="Absatz-Standardschriftart"/>
    <w:uiPriority w:val="21"/>
    <w:qFormat/>
    <w:rsid w:val="00FC693F"/>
    <w:rPr>
      <w:b/>
      <w:bCs/>
      <w:i/>
      <w:iCs/>
      <w:color w:val="4F81BD" w:themeColor="accent1"/>
    </w:rPr>
  </w:style>
  <w:style w:type="character" w:styleId="SchwacherVerweis">
    <w:name w:val="Subtle Reference"/>
    <w:basedOn w:val="Absatz-Standardschriftart"/>
    <w:uiPriority w:val="31"/>
    <w:qFormat/>
    <w:rsid w:val="00FC693F"/>
    <w:rPr>
      <w:smallCaps/>
      <w:color w:val="C0504D" w:themeColor="accent2"/>
      <w:u w:val="single"/>
    </w:rPr>
  </w:style>
  <w:style w:type="character" w:styleId="IntensiverVerweis">
    <w:name w:val="Intense Reference"/>
    <w:basedOn w:val="Absatz-Standardschriftar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uchtitel">
    <w:name w:val="Book Title"/>
    <w:basedOn w:val="Absatz-Standardschriftart"/>
    <w:uiPriority w:val="33"/>
    <w:qFormat/>
    <w:rsid w:val="00FC693F"/>
    <w:rPr>
      <w:b/>
      <w:bCs/>
      <w:smallCaps/>
      <w:spacing w:val="5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FC693F"/>
    <w:pPr>
      <w:outlineLvl w:val="9"/>
    </w:pPr>
  </w:style>
  <w:style w:type="table" w:styleId="Tabellenraster">
    <w:name w:val="Table Grid"/>
    <w:basedOn w:val="NormaleTabelle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HelleSchattierung">
    <w:name w:val="Light Shading"/>
    <w:basedOn w:val="NormaleTabelle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Schattierung-Akzent1">
    <w:name w:val="Light Shading Accent 1"/>
    <w:basedOn w:val="NormaleTabelle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HelleSchattierung-Akzent2">
    <w:name w:val="Light Shading Accent 2"/>
    <w:basedOn w:val="NormaleTabelle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HelleSchattierung-Akzent3">
    <w:name w:val="Light Shading Accent 3"/>
    <w:basedOn w:val="NormaleTabelle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HelleSchattierung-Akzent4">
    <w:name w:val="Light Shading Accent 4"/>
    <w:basedOn w:val="NormaleTabelle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HelleSchattierung-Akzent5">
    <w:name w:val="Light Shading Accent 5"/>
    <w:basedOn w:val="NormaleTabelle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HelleSchattierung-Akzent6">
    <w:name w:val="Light Shading Accent 6"/>
    <w:basedOn w:val="NormaleTabelle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HelleListe">
    <w:name w:val="Light List"/>
    <w:basedOn w:val="NormaleTabel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Liste-Akzent1">
    <w:name w:val="Light List Accent 1"/>
    <w:basedOn w:val="NormaleTabelle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HelleListe-Akzent2">
    <w:name w:val="Light List Accent 2"/>
    <w:basedOn w:val="NormaleTabel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HelleListe-Akzent3">
    <w:name w:val="Light List Accent 3"/>
    <w:basedOn w:val="NormaleTabel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HelleListe-Akzent4">
    <w:name w:val="Light List Accent 4"/>
    <w:basedOn w:val="NormaleTabel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HelleListe-Akzent5">
    <w:name w:val="Light List Accent 5"/>
    <w:basedOn w:val="NormaleTabel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HelleListe-Akzent6">
    <w:name w:val="Light List Accent 6"/>
    <w:basedOn w:val="NormaleTabelle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HellesRaster">
    <w:name w:val="Light Grid"/>
    <w:basedOn w:val="NormaleTabel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HellesRaster-Akzent1">
    <w:name w:val="Light Grid Accent 1"/>
    <w:basedOn w:val="NormaleTabel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HellesRaster-Akzent2">
    <w:name w:val="Light Grid Accent 2"/>
    <w:basedOn w:val="NormaleTabel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HellesRaster-Akzent3">
    <w:name w:val="Light Grid Accent 3"/>
    <w:basedOn w:val="NormaleTabel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HellesRaster-Akzent4">
    <w:name w:val="Light Grid Accent 4"/>
    <w:basedOn w:val="NormaleTabel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HellesRaster-Akzent5">
    <w:name w:val="Light Grid Accent 5"/>
    <w:basedOn w:val="NormaleTabel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HellesRaster-Akzent6">
    <w:name w:val="Light Grid Accent 6"/>
    <w:basedOn w:val="NormaleTabelle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ittlereSchattierung1">
    <w:name w:val="Medium Shading 1"/>
    <w:basedOn w:val="NormaleTabel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1">
    <w:name w:val="Medium Shading 1 Accent 1"/>
    <w:basedOn w:val="NormaleTabel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2">
    <w:name w:val="Medium Shading 1 Accent 2"/>
    <w:basedOn w:val="NormaleTabel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3">
    <w:name w:val="Medium Shading 1 Accent 3"/>
    <w:basedOn w:val="NormaleTabel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6">
    <w:name w:val="Medium Shading 1 Accent 6"/>
    <w:basedOn w:val="NormaleTabelle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1">
    <w:name w:val="Medium Shading 2 Accent 1"/>
    <w:basedOn w:val="NormaleTabel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2">
    <w:name w:val="Medium Shading 2 Accent 2"/>
    <w:basedOn w:val="NormaleTabel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3">
    <w:name w:val="Medium Shading 2 Accent 3"/>
    <w:basedOn w:val="NormaleTabel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4">
    <w:name w:val="Medium Shading 2 Accent 4"/>
    <w:basedOn w:val="NormaleTabel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-Akzent6">
    <w:name w:val="Medium Shading 2 Accent 6"/>
    <w:basedOn w:val="NormaleTabelle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Liste1">
    <w:name w:val="Medium List 1"/>
    <w:basedOn w:val="NormaleTabel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ttlereListe1-Akzent1">
    <w:name w:val="Medium List 1 Accent 1"/>
    <w:basedOn w:val="NormaleTabel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ittlereListe1-Akzent2">
    <w:name w:val="Medium List 1 Accent 2"/>
    <w:basedOn w:val="NormaleTabel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ittlereListe1-Akzent3">
    <w:name w:val="Medium List 1 Accent 3"/>
    <w:basedOn w:val="NormaleTabel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ittlereListe1-Akzent4">
    <w:name w:val="Medium List 1 Accent 4"/>
    <w:basedOn w:val="NormaleTabel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ittlereListe1-Akzent5">
    <w:name w:val="Medium List 1 Accent 5"/>
    <w:basedOn w:val="NormaleTabel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ittlereListe1-Akzent6">
    <w:name w:val="Medium List 1 Accent 6"/>
    <w:basedOn w:val="NormaleTabelle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ittlereListe2">
    <w:name w:val="Medium List 2"/>
    <w:basedOn w:val="NormaleTabel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1">
    <w:name w:val="Medium List 2 Accent 1"/>
    <w:basedOn w:val="NormaleTabel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2">
    <w:name w:val="Medium List 2 Accent 2"/>
    <w:basedOn w:val="NormaleTabel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3">
    <w:name w:val="Medium List 2 Accent 3"/>
    <w:basedOn w:val="NormaleTabel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4">
    <w:name w:val="Medium List 2 Accent 4"/>
    <w:basedOn w:val="NormaleTabel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5">
    <w:name w:val="Medium List 2 Accent 5"/>
    <w:basedOn w:val="NormaleTabel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2-Akzent6">
    <w:name w:val="Medium List 2 Accent 6"/>
    <w:basedOn w:val="NormaleTabelle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sRaster1">
    <w:name w:val="Medium Grid 1"/>
    <w:basedOn w:val="NormaleTabel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ittleresRaster1-Akzent1">
    <w:name w:val="Medium Grid 1 Accent 1"/>
    <w:basedOn w:val="NormaleTabel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ittleresRaster1-Akzent2">
    <w:name w:val="Medium Grid 1 Accent 2"/>
    <w:basedOn w:val="NormaleTabel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ittleresRaster1-Akzent3">
    <w:name w:val="Medium Grid 1 Accent 3"/>
    <w:basedOn w:val="NormaleTabel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ittleresRaster1-Akzent4">
    <w:name w:val="Medium Grid 1 Accent 4"/>
    <w:basedOn w:val="NormaleTabel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ittleresRaster1-Akzent5">
    <w:name w:val="Medium Grid 1 Accent 5"/>
    <w:basedOn w:val="NormaleTabel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ittleresRaster1-Akzent6">
    <w:name w:val="Medium Grid 1 Accent 6"/>
    <w:basedOn w:val="NormaleTabelle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ittleresRaster2">
    <w:name w:val="Medium Grid 2"/>
    <w:basedOn w:val="NormaleTabel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1">
    <w:name w:val="Medium Grid 2 Accent 1"/>
    <w:basedOn w:val="NormaleTabel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2">
    <w:name w:val="Medium Grid 2 Accent 2"/>
    <w:basedOn w:val="NormaleTabel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3">
    <w:name w:val="Medium Grid 2 Accent 3"/>
    <w:basedOn w:val="NormaleTabel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4">
    <w:name w:val="Medium Grid 2 Accent 4"/>
    <w:basedOn w:val="NormaleTabel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5">
    <w:name w:val="Medium Grid 2 Accent 5"/>
    <w:basedOn w:val="NormaleTabel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2-Akzent6">
    <w:name w:val="Medium Grid 2 Accent 6"/>
    <w:basedOn w:val="NormaleTabelle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3">
    <w:name w:val="Medium Grid 3"/>
    <w:basedOn w:val="NormaleTabel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ittleresRaster3-Akzent1">
    <w:name w:val="Medium Grid 3 Accent 1"/>
    <w:basedOn w:val="NormaleTabel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ittleresRaster3-Akzent2">
    <w:name w:val="Medium Grid 3 Accent 2"/>
    <w:basedOn w:val="NormaleTabel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ittleresRaster3-Akzent3">
    <w:name w:val="Medium Grid 3 Accent 3"/>
    <w:basedOn w:val="NormaleTabel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ittleresRaster3-Akzent4">
    <w:name w:val="Medium Grid 3 Accent 4"/>
    <w:basedOn w:val="NormaleTabel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ittleresRaster3-Akzent5">
    <w:name w:val="Medium Grid 3 Accent 5"/>
    <w:basedOn w:val="NormaleTabel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ittleresRaster3-Akzent6">
    <w:name w:val="Medium Grid 3 Accent 6"/>
    <w:basedOn w:val="NormaleTabelle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unkleListe">
    <w:name w:val="Dark List"/>
    <w:basedOn w:val="NormaleTabel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unkleListe-Akzent1">
    <w:name w:val="Dark List Accent 1"/>
    <w:basedOn w:val="NormaleTabel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unkleListe-Akzent2">
    <w:name w:val="Dark List Accent 2"/>
    <w:basedOn w:val="NormaleTabel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unkleListe-Akzent3">
    <w:name w:val="Dark List Accent 3"/>
    <w:basedOn w:val="NormaleTabel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unkleListe-Akzent4">
    <w:name w:val="Dark List Accent 4"/>
    <w:basedOn w:val="NormaleTabel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unkleListe-Akzent5">
    <w:name w:val="Dark List Accent 5"/>
    <w:basedOn w:val="NormaleTabel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unkleListe-Akzent6">
    <w:name w:val="Dark List Accent 6"/>
    <w:basedOn w:val="NormaleTabelle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bigeSchattierung">
    <w:name w:val="Colorful Shading"/>
    <w:basedOn w:val="NormaleTabel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1">
    <w:name w:val="Colorful Shading Accent 1"/>
    <w:basedOn w:val="NormaleTabel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2">
    <w:name w:val="Colorful Shading Accent 2"/>
    <w:basedOn w:val="NormaleTabel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3">
    <w:name w:val="Colorful Shading Accent 3"/>
    <w:basedOn w:val="NormaleTabel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bigeSchattierung-Akzent4">
    <w:name w:val="Colorful Shading Accent 4"/>
    <w:basedOn w:val="NormaleTabel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5">
    <w:name w:val="Colorful Shading Accent 5"/>
    <w:basedOn w:val="NormaleTabel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Schattierung-Akzent6">
    <w:name w:val="Colorful Shading Accent 6"/>
    <w:basedOn w:val="NormaleTabelle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bigeListe">
    <w:name w:val="Colorful List"/>
    <w:basedOn w:val="NormaleTabel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bigeListe-Akzent1">
    <w:name w:val="Colorful List Accent 1"/>
    <w:basedOn w:val="NormaleTabel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bigeListe-Akzent2">
    <w:name w:val="Colorful List Accent 2"/>
    <w:basedOn w:val="NormaleTabel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bigeListe-Akzent3">
    <w:name w:val="Colorful List Accent 3"/>
    <w:basedOn w:val="NormaleTabel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bigeListe-Akzent4">
    <w:name w:val="Colorful List Accent 4"/>
    <w:basedOn w:val="NormaleTabel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bigeListe-Akzent5">
    <w:name w:val="Colorful List Accent 5"/>
    <w:basedOn w:val="NormaleTabel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bigeListe-Akzent6">
    <w:name w:val="Colorful List Accent 6"/>
    <w:basedOn w:val="NormaleTabelle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bigesRaster">
    <w:name w:val="Colorful Grid"/>
    <w:basedOn w:val="NormaleTabel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bigesRaster-Akzent1">
    <w:name w:val="Colorful Grid Accent 1"/>
    <w:basedOn w:val="NormaleTabel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bigesRaster-Akzent2">
    <w:name w:val="Colorful Grid Accent 2"/>
    <w:basedOn w:val="NormaleTabel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bigesRaster-Akzent3">
    <w:name w:val="Colorful Grid Accent 3"/>
    <w:basedOn w:val="NormaleTabel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bigesRaster-Akzent4">
    <w:name w:val="Colorful Grid Accent 4"/>
    <w:basedOn w:val="NormaleTabel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bigesRaster-Akzent5">
    <w:name w:val="Colorful Grid Accent 5"/>
    <w:basedOn w:val="NormaleTabel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bigesRaster-Akzent6">
    <w:name w:val="Colorful Grid Accent 6"/>
    <w:basedOn w:val="NormaleTabelle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3120C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3120C2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3120C2"/>
    <w:rPr>
      <w:rFonts w:ascii="Calibri" w:hAnsi="Calibri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120C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120C2"/>
    <w:rPr>
      <w:rFonts w:ascii="Calibri" w:hAnsi="Calibri"/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120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120C2"/>
    <w:rPr>
      <w:rFonts w:ascii="Segoe UI" w:hAnsi="Segoe UI" w:cs="Segoe UI"/>
      <w:sz w:val="18"/>
      <w:szCs w:val="18"/>
    </w:rPr>
  </w:style>
  <w:style w:type="paragraph" w:styleId="berarbeitung">
    <w:name w:val="Revision"/>
    <w:hidden/>
    <w:uiPriority w:val="99"/>
    <w:semiHidden/>
    <w:rsid w:val="0056587E"/>
    <w:pPr>
      <w:spacing w:after="0" w:line="240" w:lineRule="auto"/>
    </w:pPr>
    <w:rPr>
      <w:rFonts w:ascii="Calibri" w:hAnsi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47809E2-2AAB-40B6-9090-6F81680705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1766</Words>
  <Characters>11133</Characters>
  <Application>Microsoft Office Word</Application>
  <DocSecurity>0</DocSecurity>
  <Lines>92</Lines>
  <Paragraphs>25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Pressemeldung AG Neue Therapien – Donanemab und Cochrane-Review</vt:lpstr>
      <vt:lpstr/>
    </vt:vector>
  </TitlesOfParts>
  <Manager/>
  <Company/>
  <LinksUpToDate>false</LinksUpToDate>
  <CharactersWithSpaces>12874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Pressemeldung AG Neue Therapien – Donanemab und Cochrane-Review</dc:title>
  <dc:subject>Website-Text / Word-Fassung</dc:subject>
  <dc:creator>M365 Copilot</dc:creator>
  <cp:keywords/>
  <dc:description>Enthält finalisierte Fassung mit Sprecherzitaten (Formulierungsvorschläge) und Quellenliste.</dc:description>
  <cp:lastModifiedBy>Perneczky, Robert G</cp:lastModifiedBy>
  <cp:revision>6</cp:revision>
  <dcterms:created xsi:type="dcterms:W3CDTF">2026-04-20T12:00:00Z</dcterms:created>
  <dcterms:modified xsi:type="dcterms:W3CDTF">2026-04-21T19:30:00Z</dcterms:modified>
  <cp:category/>
</cp:coreProperties>
</file>