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A58F3CA" w14:textId="29828381" w:rsidR="008A1EA9" w:rsidRPr="005547FA" w:rsidRDefault="008A1EA9" w:rsidP="008A1EA9">
      <w:pPr>
        <w:jc w:val="both"/>
        <w:rPr>
          <w:rFonts w:ascii="Times New Roman" w:hAnsi="Times New Roman" w:cs="Times New Roman"/>
          <w:b/>
          <w:lang w:val="en-GB"/>
        </w:rPr>
      </w:pPr>
      <w:r>
        <w:rPr>
          <w:rFonts w:ascii="Times New Roman" w:hAnsi="Times New Roman" w:cs="Times New Roman"/>
          <w:b/>
        </w:rPr>
        <w:t>Working Group New Therapeutic Approaches, Monitoring and Board of Directors of the German Network of Memory Clinics</w:t>
      </w:r>
    </w:p>
    <w:p w14:paraId="009243DC" w14:textId="0D30473F" w:rsidR="005B5EAD" w:rsidRPr="005547FA" w:rsidRDefault="004F25A3" w:rsidP="008A1EA9">
      <w:pPr>
        <w:jc w:val="both"/>
        <w:rPr>
          <w:rFonts w:ascii="Times New Roman" w:hAnsi="Times New Roman" w:cs="Times New Roman"/>
          <w:b/>
          <w:lang w:val="en-GB"/>
        </w:rPr>
      </w:pPr>
      <w:r w:rsidRPr="005D1555">
        <w:rPr>
          <w:rFonts w:ascii="Times New Roman" w:hAnsi="Times New Roman" w:cs="Times New Roman"/>
          <w:b/>
        </w:rPr>
        <w:t xml:space="preserve">Statement on the G-BA decision on donanemab (Kisunla) and the Cochrane </w:t>
      </w:r>
      <w:r w:rsidR="005547FA">
        <w:rPr>
          <w:rFonts w:ascii="Times New Roman" w:hAnsi="Times New Roman" w:cs="Times New Roman"/>
          <w:b/>
        </w:rPr>
        <w:t>R</w:t>
      </w:r>
      <w:r w:rsidRPr="005D1555">
        <w:rPr>
          <w:rFonts w:ascii="Times New Roman" w:hAnsi="Times New Roman" w:cs="Times New Roman"/>
          <w:b/>
        </w:rPr>
        <w:t>eview on anti-amyloid antibodies for early Alzheimer's disease:</w:t>
      </w:r>
    </w:p>
    <w:p w14:paraId="3C1C2B41" w14:textId="4136928E" w:rsidR="006734F9" w:rsidRPr="005547FA" w:rsidRDefault="006734F9" w:rsidP="008A1EA9">
      <w:pPr>
        <w:jc w:val="both"/>
        <w:rPr>
          <w:rFonts w:ascii="Times New Roman" w:hAnsi="Times New Roman" w:cs="Times New Roman"/>
          <w:b/>
          <w:lang w:val="en-GB"/>
        </w:rPr>
      </w:pPr>
      <w:r w:rsidRPr="006734F9">
        <w:rPr>
          <w:rFonts w:ascii="Times New Roman" w:hAnsi="Times New Roman" w:cs="Times New Roman"/>
          <w:b/>
        </w:rPr>
        <w:t>A blanket rejection of anti-amyloid therapies does not go far enough</w:t>
      </w:r>
    </w:p>
    <w:p w14:paraId="1D874F6D" w14:textId="77777777" w:rsidR="006734F9" w:rsidRPr="005547FA" w:rsidRDefault="006734F9" w:rsidP="008A1EA9">
      <w:pPr>
        <w:jc w:val="both"/>
        <w:rPr>
          <w:rFonts w:ascii="Times New Roman" w:hAnsi="Times New Roman" w:cs="Times New Roman"/>
          <w:b/>
          <w:lang w:val="en-GB"/>
        </w:rPr>
      </w:pPr>
    </w:p>
    <w:p w14:paraId="06420207" w14:textId="46108ADE"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i/>
        </w:rPr>
        <w:t>Last updated: 2</w:t>
      </w:r>
      <w:r w:rsidR="005547FA">
        <w:rPr>
          <w:rFonts w:ascii="Times New Roman" w:hAnsi="Times New Roman" w:cs="Times New Roman"/>
          <w:i/>
        </w:rPr>
        <w:t>1</w:t>
      </w:r>
      <w:r w:rsidRPr="005D1555">
        <w:rPr>
          <w:rFonts w:ascii="Times New Roman" w:hAnsi="Times New Roman" w:cs="Times New Roman"/>
          <w:i/>
        </w:rPr>
        <w:t xml:space="preserve"> April 2026</w:t>
      </w:r>
    </w:p>
    <w:p w14:paraId="59039758" w14:textId="77777777" w:rsidR="005B5EAD" w:rsidRPr="005547FA" w:rsidRDefault="004F25A3" w:rsidP="005D1555">
      <w:pPr>
        <w:pStyle w:val="berschrift1"/>
        <w:jc w:val="both"/>
        <w:rPr>
          <w:rFonts w:ascii="Times New Roman" w:hAnsi="Times New Roman" w:cs="Times New Roman"/>
          <w:color w:val="auto"/>
          <w:sz w:val="22"/>
          <w:szCs w:val="22"/>
          <w:lang w:val="en-GB"/>
        </w:rPr>
      </w:pPr>
      <w:r w:rsidRPr="005D1555">
        <w:rPr>
          <w:rFonts w:ascii="Times New Roman" w:hAnsi="Times New Roman" w:cs="Times New Roman"/>
          <w:color w:val="auto"/>
          <w:sz w:val="22"/>
          <w:szCs w:val="22"/>
        </w:rPr>
        <w:t>Press Release</w:t>
      </w:r>
    </w:p>
    <w:p w14:paraId="79D1DE10" w14:textId="03AC3B06" w:rsidR="005B5EAD" w:rsidRPr="005547FA" w:rsidRDefault="008A1EA9" w:rsidP="005D1555">
      <w:pPr>
        <w:jc w:val="both"/>
        <w:rPr>
          <w:rFonts w:ascii="Times New Roman" w:hAnsi="Times New Roman" w:cs="Times New Roman"/>
          <w:lang w:val="en-GB"/>
        </w:rPr>
      </w:pPr>
      <w:r w:rsidRPr="008A1EA9">
        <w:rPr>
          <w:rFonts w:ascii="Times New Roman" w:hAnsi="Times New Roman" w:cs="Times New Roman"/>
        </w:rPr>
        <w:t>The Working Group New Therapeutic Approaches, Monitoring and the Board of Directors of the German Network of Memory Clinics (DNG) take note of the G-BA's decision on donanemab (Kisunla) and the new Cochrane Review on anti-amyloid antibodies with great attention. Both publications address a central question of current Alzheimer's care: How are the benefits, risks and practical feasibility of potentially disease-modifying therapies in early Alzheimer's disease to be assessed in a clinical context?</w:t>
      </w:r>
    </w:p>
    <w:p w14:paraId="0340F684" w14:textId="0BCB5713"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 xml:space="preserve">From the DNG's point of view, it should be noted that the G-BA decision and the Cochrane Review answer different questions. As part of the early benefit assessment, the G-BA assesses the additional benefit of a drug compared to the existing practice of guideline-based comparator therapy in the German care system. Cochrane reviews are considered the gold standard for a well-founded evidence synthesis, characterized by strict, transparent criteria and the claim to enable clinically active physicians to make a rational therapy decision. In this analysis, randomized studies on multiple, biologically and clinically incomparable amyloid antibodies were combined. The G-BA decision and the Cochrane meta-analysis are important contributions to the classification of the evidence. However, in the opinion of </w:t>
      </w:r>
      <w:proofErr w:type="gramStart"/>
      <w:r w:rsidRPr="005D1555">
        <w:rPr>
          <w:rFonts w:ascii="Times New Roman" w:hAnsi="Times New Roman" w:cs="Times New Roman"/>
        </w:rPr>
        <w:t>the DNG</w:t>
      </w:r>
      <w:proofErr w:type="gramEnd"/>
      <w:r w:rsidRPr="005D1555">
        <w:rPr>
          <w:rFonts w:ascii="Times New Roman" w:hAnsi="Times New Roman" w:cs="Times New Roman"/>
        </w:rPr>
        <w:t xml:space="preserve">, neither of these factors justifies the blanket conclusion that antibodies directed against amyloid </w:t>
      </w:r>
      <w:proofErr w:type="gramStart"/>
      <w:r w:rsidRPr="005D1555">
        <w:rPr>
          <w:rFonts w:ascii="Times New Roman" w:hAnsi="Times New Roman" w:cs="Times New Roman"/>
        </w:rPr>
        <w:t>as a whole have</w:t>
      </w:r>
      <w:proofErr w:type="gramEnd"/>
      <w:r w:rsidRPr="005D1555">
        <w:rPr>
          <w:rFonts w:ascii="Times New Roman" w:hAnsi="Times New Roman" w:cs="Times New Roman"/>
        </w:rPr>
        <w:t xml:space="preserve"> no significance in the treatment of early Alzheimer's disease.</w:t>
      </w:r>
    </w:p>
    <w:p w14:paraId="6E3DCC3D" w14:textId="77777777" w:rsidR="005B5EAD" w:rsidRPr="005547FA" w:rsidRDefault="004F25A3" w:rsidP="005D1555">
      <w:pPr>
        <w:pStyle w:val="berschrift2"/>
        <w:jc w:val="both"/>
        <w:rPr>
          <w:rFonts w:ascii="Times New Roman" w:hAnsi="Times New Roman" w:cs="Times New Roman"/>
          <w:color w:val="auto"/>
          <w:sz w:val="22"/>
          <w:szCs w:val="22"/>
          <w:lang w:val="en-GB"/>
        </w:rPr>
      </w:pPr>
      <w:r w:rsidRPr="005D1555">
        <w:rPr>
          <w:rFonts w:ascii="Times New Roman" w:hAnsi="Times New Roman" w:cs="Times New Roman"/>
          <w:color w:val="auto"/>
          <w:sz w:val="22"/>
          <w:szCs w:val="22"/>
        </w:rPr>
        <w:t>1. The G-BA decision on donanemab (Kisunla)</w:t>
      </w:r>
    </w:p>
    <w:p w14:paraId="53D13965" w14:textId="4313B7B1"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 xml:space="preserve">On 16 April 2026, the G-BA decided that an </w:t>
      </w:r>
      <w:r w:rsidR="005547FA">
        <w:rPr>
          <w:rFonts w:ascii="Times New Roman" w:hAnsi="Times New Roman" w:cs="Times New Roman"/>
        </w:rPr>
        <w:t>added</w:t>
      </w:r>
      <w:r w:rsidRPr="005D1555">
        <w:rPr>
          <w:rFonts w:ascii="Times New Roman" w:hAnsi="Times New Roman" w:cs="Times New Roman"/>
        </w:rPr>
        <w:t xml:space="preserve"> benefit for donanemab in early Alzheimer's disease compared to the appropriate comparator therapy determined in each case has not been proven. At the same time, the G-BA itself expressly clarifies that this early benefit assessment is to be distinguished from the marketing authorisation under pharmaceutical law and that the decision does not entail any further restriction of the </w:t>
      </w:r>
      <w:proofErr w:type="spellStart"/>
      <w:r w:rsidRPr="005D1555">
        <w:rPr>
          <w:rFonts w:ascii="Times New Roman" w:hAnsi="Times New Roman" w:cs="Times New Roman"/>
        </w:rPr>
        <w:t>prescribability</w:t>
      </w:r>
      <w:proofErr w:type="spellEnd"/>
      <w:r w:rsidRPr="005D1555">
        <w:rPr>
          <w:rFonts w:ascii="Times New Roman" w:hAnsi="Times New Roman" w:cs="Times New Roman"/>
        </w:rPr>
        <w:t xml:space="preserve"> of donanemab.</w:t>
      </w:r>
    </w:p>
    <w:p w14:paraId="77C5CA99" w14:textId="47DA2985" w:rsidR="00237690" w:rsidRPr="005547FA" w:rsidRDefault="004F25A3" w:rsidP="00237690">
      <w:pPr>
        <w:jc w:val="both"/>
        <w:rPr>
          <w:rFonts w:ascii="Times New Roman" w:hAnsi="Times New Roman" w:cs="Times New Roman"/>
          <w:lang w:val="en-GB"/>
        </w:rPr>
      </w:pPr>
      <w:r w:rsidRPr="005D1555">
        <w:rPr>
          <w:rFonts w:ascii="Times New Roman" w:hAnsi="Times New Roman" w:cs="Times New Roman"/>
        </w:rPr>
        <w:t xml:space="preserve">In the opinion of the G-BA, there was no suitable data available for the group of patients with mild cognitive impairment </w:t>
      </w:r>
      <w:r w:rsidR="005547FA">
        <w:rPr>
          <w:rFonts w:ascii="Times New Roman" w:hAnsi="Times New Roman" w:cs="Times New Roman"/>
        </w:rPr>
        <w:t>(MCI) due to</w:t>
      </w:r>
      <w:r w:rsidRPr="005D1555">
        <w:rPr>
          <w:rFonts w:ascii="Times New Roman" w:hAnsi="Times New Roman" w:cs="Times New Roman"/>
        </w:rPr>
        <w:t xml:space="preserve"> Alzheimer's disease to be able to assess the additional benefit. For the group of patients with mild Alzheimer's dementia, there was no proven advantage over acetylcholinesterase inhibitors (AChEI) on the basis of the data used. This statement must be read precisely: It does not mean that donanemab is ineffective, but that in the specific German care context, an additional benefit compared to the comparator therapies defined by the G-BA could not be proven. </w:t>
      </w:r>
    </w:p>
    <w:p w14:paraId="109A7D60" w14:textId="5A499540" w:rsidR="00237690" w:rsidRPr="005547FA" w:rsidRDefault="00237690" w:rsidP="00237690">
      <w:pPr>
        <w:jc w:val="both"/>
        <w:rPr>
          <w:rFonts w:ascii="Times New Roman" w:hAnsi="Times New Roman" w:cs="Times New Roman"/>
          <w:lang w:val="en-GB"/>
        </w:rPr>
      </w:pPr>
      <w:r w:rsidRPr="00237690">
        <w:rPr>
          <w:rFonts w:ascii="Times New Roman" w:hAnsi="Times New Roman" w:cs="Times New Roman"/>
        </w:rPr>
        <w:t xml:space="preserve">For the understanding of the decision, it is crucial that the G-BA has divided the approved indication, according to the German care situation and the different guideline-based comparator therapies, into two clinically separately assessed populations: </w:t>
      </w:r>
      <w:r w:rsidR="005547FA">
        <w:rPr>
          <w:rFonts w:ascii="Times New Roman" w:hAnsi="Times New Roman" w:cs="Times New Roman"/>
        </w:rPr>
        <w:t>MCI</w:t>
      </w:r>
      <w:r w:rsidRPr="00237690">
        <w:rPr>
          <w:rFonts w:ascii="Times New Roman" w:hAnsi="Times New Roman" w:cs="Times New Roman"/>
        </w:rPr>
        <w:t xml:space="preserve"> on the one hand and mild Alzheimer's dementia on the other. </w:t>
      </w:r>
      <w:r w:rsidRPr="00237690">
        <w:rPr>
          <w:rFonts w:ascii="Times New Roman" w:hAnsi="Times New Roman" w:cs="Times New Roman"/>
        </w:rPr>
        <w:lastRenderedPageBreak/>
        <w:t>For MCI, "Best Supportive Care" or observational waiting was used as a comparator therapy, for mild Alzheimer's dementia donepezil, galantamine or rivastigmine.</w:t>
      </w:r>
    </w:p>
    <w:p w14:paraId="56541423" w14:textId="7016A104" w:rsidR="00237690" w:rsidRPr="005547FA" w:rsidRDefault="00237690" w:rsidP="00237690">
      <w:pPr>
        <w:jc w:val="both"/>
        <w:rPr>
          <w:rFonts w:ascii="Times New Roman" w:hAnsi="Times New Roman" w:cs="Times New Roman"/>
          <w:lang w:val="en-GB"/>
        </w:rPr>
      </w:pPr>
      <w:r w:rsidRPr="00237690">
        <w:rPr>
          <w:rFonts w:ascii="Times New Roman" w:hAnsi="Times New Roman" w:cs="Times New Roman"/>
        </w:rPr>
        <w:t xml:space="preserve">However, from the point of view of IQWiG and G-BA, the core methodological problem of the study used for donanemab was that the study itself did not provide for a prospectively documented assignment made by the investigator to MCI versus mild Alzheimer's dementia. The test form only had to confirm that Alzheimer's disease was present. </w:t>
      </w:r>
    </w:p>
    <w:p w14:paraId="6B22D62E" w14:textId="37AF018A" w:rsidR="00237690" w:rsidRPr="005547FA" w:rsidRDefault="00237690" w:rsidP="00237690">
      <w:pPr>
        <w:jc w:val="both"/>
        <w:rPr>
          <w:rFonts w:ascii="Times New Roman" w:hAnsi="Times New Roman" w:cs="Times New Roman"/>
          <w:lang w:val="en-GB"/>
        </w:rPr>
      </w:pPr>
      <w:r w:rsidRPr="00237690">
        <w:rPr>
          <w:rFonts w:ascii="Times New Roman" w:hAnsi="Times New Roman" w:cs="Times New Roman"/>
        </w:rPr>
        <w:t xml:space="preserve">In </w:t>
      </w:r>
      <w:proofErr w:type="spellStart"/>
      <w:r w:rsidRPr="00237690">
        <w:rPr>
          <w:rFonts w:ascii="Times New Roman" w:hAnsi="Times New Roman" w:cs="Times New Roman"/>
        </w:rPr>
        <w:t>IQWiG's</w:t>
      </w:r>
      <w:proofErr w:type="spellEnd"/>
      <w:r w:rsidRPr="00237690">
        <w:rPr>
          <w:rFonts w:ascii="Times New Roman" w:hAnsi="Times New Roman" w:cs="Times New Roman"/>
        </w:rPr>
        <w:t xml:space="preserve"> opinion, the subpopulations initially formed by the manufacturer solely </w:t>
      </w:r>
      <w:proofErr w:type="gramStart"/>
      <w:r w:rsidRPr="00237690">
        <w:rPr>
          <w:rFonts w:ascii="Times New Roman" w:hAnsi="Times New Roman" w:cs="Times New Roman"/>
        </w:rPr>
        <w:t>on the basis of</w:t>
      </w:r>
      <w:proofErr w:type="gramEnd"/>
      <w:r w:rsidRPr="00237690">
        <w:rPr>
          <w:rFonts w:ascii="Times New Roman" w:hAnsi="Times New Roman" w:cs="Times New Roman"/>
        </w:rPr>
        <w:t xml:space="preserve"> concomitant therapy with AChEI were not suitable for answering the questions of the benefit assessment. It was only in the comment process that additional differentiations were submitted, including on the basis of the Clinical Dementia Rating (CDR) and other criteria. For the MCI question, these evaluations still did not reflect the relevant untreated MCI population from IQWiG's point of view; for the question of mild Alzheimer's dementia, certain populations with AChEI therapy </w:t>
      </w:r>
      <w:proofErr w:type="gramStart"/>
      <w:r w:rsidRPr="00237690">
        <w:rPr>
          <w:rFonts w:ascii="Times New Roman" w:hAnsi="Times New Roman" w:cs="Times New Roman"/>
        </w:rPr>
        <w:t>were considered to be</w:t>
      </w:r>
      <w:proofErr w:type="gramEnd"/>
      <w:r w:rsidRPr="00237690">
        <w:rPr>
          <w:rFonts w:ascii="Times New Roman" w:hAnsi="Times New Roman" w:cs="Times New Roman"/>
        </w:rPr>
        <w:t xml:space="preserve"> a sufficiently safe approximation, but this did not result in a proven additional benefit.</w:t>
      </w:r>
    </w:p>
    <w:p w14:paraId="79A49519" w14:textId="3F37E440" w:rsidR="005B5EAD" w:rsidRPr="005547FA" w:rsidRDefault="00237690" w:rsidP="00237690">
      <w:pPr>
        <w:jc w:val="both"/>
        <w:rPr>
          <w:rFonts w:ascii="Times New Roman" w:hAnsi="Times New Roman" w:cs="Times New Roman"/>
          <w:u w:val="single"/>
          <w:lang w:val="en-GB"/>
        </w:rPr>
      </w:pPr>
      <w:r w:rsidRPr="00237690">
        <w:rPr>
          <w:rFonts w:ascii="Times New Roman" w:hAnsi="Times New Roman" w:cs="Times New Roman"/>
        </w:rPr>
        <w:t xml:space="preserve">Against this background, the G-BA decision is not a general judgment on the principle of action, but the result of only a limited fit between study design, subsequent population allocation and the requirements of the German early benefit assessment. Especially in an early, clinically heterogeneous phase of the disease, study design, endpoint selection, patient selection and the subsequent assignment of study participants to the populations assessed separately in Germany can significantly influence the result of a benefit assessment. </w:t>
      </w:r>
      <w:r w:rsidR="004F25A3" w:rsidRPr="001914E1">
        <w:rPr>
          <w:rFonts w:ascii="Times New Roman" w:hAnsi="Times New Roman" w:cs="Times New Roman"/>
          <w:u w:val="single"/>
        </w:rPr>
        <w:t>From the DNG's point of view, it is important to emphasise that the G-BA decision must not be equated with a fundamental denial of clinically relevant effects of anti-amyloid antibodies.</w:t>
      </w:r>
    </w:p>
    <w:p w14:paraId="39F8E66E" w14:textId="32EF7569" w:rsidR="005B5EAD" w:rsidRPr="005547FA" w:rsidRDefault="004F25A3" w:rsidP="005D1555">
      <w:pPr>
        <w:pStyle w:val="berschrift2"/>
        <w:jc w:val="both"/>
        <w:rPr>
          <w:rFonts w:ascii="Times New Roman" w:hAnsi="Times New Roman" w:cs="Times New Roman"/>
          <w:color w:val="auto"/>
          <w:sz w:val="22"/>
          <w:szCs w:val="22"/>
        </w:rPr>
      </w:pPr>
      <w:r w:rsidRPr="005D1555">
        <w:rPr>
          <w:rFonts w:ascii="Times New Roman" w:hAnsi="Times New Roman" w:cs="Times New Roman"/>
          <w:color w:val="auto"/>
          <w:sz w:val="22"/>
          <w:szCs w:val="22"/>
        </w:rPr>
        <w:t>2. T</w:t>
      </w:r>
      <w:r w:rsidR="005547FA">
        <w:rPr>
          <w:rFonts w:ascii="Times New Roman" w:hAnsi="Times New Roman" w:cs="Times New Roman"/>
          <w:color w:val="auto"/>
          <w:sz w:val="22"/>
          <w:szCs w:val="22"/>
        </w:rPr>
        <w:t xml:space="preserve">he </w:t>
      </w:r>
      <w:r w:rsidRPr="005D1555">
        <w:rPr>
          <w:rFonts w:ascii="Times New Roman" w:hAnsi="Times New Roman" w:cs="Times New Roman"/>
          <w:color w:val="auto"/>
          <w:sz w:val="22"/>
          <w:szCs w:val="22"/>
        </w:rPr>
        <w:t xml:space="preserve">Cochrane </w:t>
      </w:r>
      <w:r w:rsidR="005547FA">
        <w:rPr>
          <w:rFonts w:ascii="Times New Roman" w:hAnsi="Times New Roman" w:cs="Times New Roman"/>
          <w:color w:val="auto"/>
          <w:sz w:val="22"/>
          <w:szCs w:val="22"/>
        </w:rPr>
        <w:t>R</w:t>
      </w:r>
      <w:r w:rsidRPr="005D1555">
        <w:rPr>
          <w:rFonts w:ascii="Times New Roman" w:hAnsi="Times New Roman" w:cs="Times New Roman"/>
          <w:color w:val="auto"/>
          <w:sz w:val="22"/>
          <w:szCs w:val="22"/>
        </w:rPr>
        <w:t>eview of anti-amyloid antibodies</w:t>
      </w:r>
    </w:p>
    <w:p w14:paraId="2DDA5619" w14:textId="3A3C0630"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The Cochrane Review analyzes 17 randomized trials with a total of 20</w:t>
      </w:r>
      <w:r w:rsidR="005547FA">
        <w:rPr>
          <w:rFonts w:ascii="Times New Roman" w:hAnsi="Times New Roman" w:cs="Times New Roman"/>
        </w:rPr>
        <w:t>,</w:t>
      </w:r>
      <w:r w:rsidRPr="005D1555">
        <w:rPr>
          <w:rFonts w:ascii="Times New Roman" w:hAnsi="Times New Roman" w:cs="Times New Roman"/>
        </w:rPr>
        <w:t xml:space="preserve">342 participants and summarizes seven different antibodies directed against amyloid. The authors come to the conclusion that, overall, the effects of these antibodies on cognition and severity of dementia after 18 months are not significant on average and that the effect on functional abilities is small at best. At the same time, the review reports an increased risk of amyloid-associated </w:t>
      </w:r>
      <w:r w:rsidR="005547FA" w:rsidRPr="005D1555">
        <w:rPr>
          <w:rFonts w:ascii="Times New Roman" w:hAnsi="Times New Roman" w:cs="Times New Roman"/>
        </w:rPr>
        <w:t xml:space="preserve">imaging </w:t>
      </w:r>
      <w:r w:rsidRPr="005D1555">
        <w:rPr>
          <w:rFonts w:ascii="Times New Roman" w:hAnsi="Times New Roman" w:cs="Times New Roman"/>
        </w:rPr>
        <w:t xml:space="preserve">abnormalities (ARIA), including brain swelling and microhemorrhage. These safety aspects are clinically highly relevant and must be carefully evaluated for each indication. It is undisputed that antibodies directed against amyloid require structured surveillance with </w:t>
      </w:r>
      <w:r w:rsidR="005547FA">
        <w:rPr>
          <w:rFonts w:ascii="Times New Roman" w:hAnsi="Times New Roman" w:cs="Times New Roman"/>
        </w:rPr>
        <w:t xml:space="preserve">brain </w:t>
      </w:r>
      <w:r w:rsidRPr="005D1555">
        <w:rPr>
          <w:rFonts w:ascii="Times New Roman" w:hAnsi="Times New Roman" w:cs="Times New Roman"/>
        </w:rPr>
        <w:t>MRI controls, experience in recognizing and managing ARIA, and careful education. According to the European SmPC and Regulatory Information, donanemab is also only to be used under clearly defined conditions and with close imaging.</w:t>
      </w:r>
    </w:p>
    <w:p w14:paraId="2C25BF8C" w14:textId="29B39A3D"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 xml:space="preserve">From the DNG's point of view, the main methodological weakness of the Cochrane Review lies in the improper equal treatment of all antibodies ever developed and the study designs used, as well as the resulting far-reaching class-wide conclusion. In the pooled analysis, older antibodies that address very different epitopes and aggregation levels of the amyloid peptide and that have very different effects on amyloid contamination are evaluated together with newer, regulatory-approved agents. This means that only two of the seven antibodies analysed are in principle available for drug therapy and must be evaluated by the clinically active physician </w:t>
      </w:r>
      <w:proofErr w:type="gramStart"/>
      <w:r w:rsidRPr="005D1555">
        <w:rPr>
          <w:rFonts w:ascii="Times New Roman" w:hAnsi="Times New Roman" w:cs="Times New Roman"/>
        </w:rPr>
        <w:t>with regard to</w:t>
      </w:r>
      <w:proofErr w:type="gramEnd"/>
      <w:r w:rsidRPr="005D1555">
        <w:rPr>
          <w:rFonts w:ascii="Times New Roman" w:hAnsi="Times New Roman" w:cs="Times New Roman"/>
        </w:rPr>
        <w:t xml:space="preserve"> a rational therapy decision.</w:t>
      </w:r>
    </w:p>
    <w:p w14:paraId="556FB8E7" w14:textId="77777777" w:rsidR="00F76FAC" w:rsidRPr="005547FA" w:rsidRDefault="008C5DFF" w:rsidP="005D1555">
      <w:pPr>
        <w:jc w:val="both"/>
        <w:rPr>
          <w:rFonts w:ascii="Times New Roman" w:hAnsi="Times New Roman" w:cs="Times New Roman"/>
          <w:lang w:val="en-GB"/>
        </w:rPr>
      </w:pPr>
      <w:r>
        <w:rPr>
          <w:rFonts w:ascii="Times New Roman" w:hAnsi="Times New Roman" w:cs="Times New Roman"/>
        </w:rPr>
        <w:t xml:space="preserve">This approach systematically underestimates the effectiveness of currently approved therapies, while overestimating the failures of previous generations. A meaningful synthesis requires a stratified analysis that </w:t>
      </w:r>
      <w:proofErr w:type="gramStart"/>
      <w:r>
        <w:rPr>
          <w:rFonts w:ascii="Times New Roman" w:hAnsi="Times New Roman" w:cs="Times New Roman"/>
        </w:rPr>
        <w:t>takes into account</w:t>
      </w:r>
      <w:proofErr w:type="gramEnd"/>
      <w:r>
        <w:rPr>
          <w:rFonts w:ascii="Times New Roman" w:hAnsi="Times New Roman" w:cs="Times New Roman"/>
        </w:rPr>
        <w:t xml:space="preserve"> the stage of development of the substances and important pharmacodynamic features (such </w:t>
      </w:r>
      <w:r>
        <w:rPr>
          <w:rFonts w:ascii="Times New Roman" w:hAnsi="Times New Roman" w:cs="Times New Roman"/>
        </w:rPr>
        <w:lastRenderedPageBreak/>
        <w:t>as plaque clearance capacity) and fundamental aspects of the clinical trials (such as biomarker integration in subject selection).</w:t>
      </w:r>
    </w:p>
    <w:p w14:paraId="3F3215C2" w14:textId="6E84AAFB"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 xml:space="preserve">A joint consideration of all antibodies developed so far against amyloid can be useful for an analysis of the efficacy parameters, but it should then be carried out primarily according to basic scientific criteria </w:t>
      </w:r>
      <w:proofErr w:type="gramStart"/>
      <w:r w:rsidRPr="005D1555">
        <w:rPr>
          <w:rFonts w:ascii="Times New Roman" w:hAnsi="Times New Roman" w:cs="Times New Roman"/>
        </w:rPr>
        <w:t>in order to</w:t>
      </w:r>
      <w:proofErr w:type="gramEnd"/>
      <w:r w:rsidRPr="005D1555">
        <w:rPr>
          <w:rFonts w:ascii="Times New Roman" w:hAnsi="Times New Roman" w:cs="Times New Roman"/>
        </w:rPr>
        <w:t xml:space="preserve"> adequately evaluate the differences between the substances. However, it is not suitable for assessing the clinical relevance of individual, currently approved active ingredients. This is precisely the point that external expert classifications have also pointed out: </w:t>
      </w:r>
      <w:r w:rsidR="005547FA">
        <w:rPr>
          <w:rFonts w:ascii="Times New Roman" w:hAnsi="Times New Roman" w:cs="Times New Roman"/>
        </w:rPr>
        <w:t>b</w:t>
      </w:r>
      <w:r w:rsidRPr="005D1555">
        <w:rPr>
          <w:rFonts w:ascii="Times New Roman" w:hAnsi="Times New Roman" w:cs="Times New Roman"/>
        </w:rPr>
        <w:t>oth the Alzheimer's Society and several experts cited by the UK Dementia Research Institute criticise the fact that the joint consideration of several experimental substances that have not been approved with a few substances approved as medicinal products (lecanemab, donanemab) disregards differences and that the repeated proof of efficacy is no longer comprehensible.</w:t>
      </w:r>
    </w:p>
    <w:p w14:paraId="7F797A48" w14:textId="207CCA17" w:rsidR="005B5EAD" w:rsidRPr="005547FA" w:rsidRDefault="004F25A3" w:rsidP="005D1555">
      <w:pPr>
        <w:jc w:val="both"/>
        <w:rPr>
          <w:rFonts w:ascii="Times New Roman" w:hAnsi="Times New Roman" w:cs="Times New Roman"/>
          <w:u w:val="single"/>
          <w:lang w:val="en-GB"/>
        </w:rPr>
      </w:pPr>
      <w:r w:rsidRPr="001914E1">
        <w:rPr>
          <w:rFonts w:ascii="Times New Roman" w:hAnsi="Times New Roman" w:cs="Times New Roman"/>
          <w:u w:val="single"/>
        </w:rPr>
        <w:t xml:space="preserve">From the DNG's point of view, it does not follow from the Cochrane review that therapies directed against amyloid should be discredited overall. Rather, the review underlines that benefits and risks can only be adequately assessed on an active </w:t>
      </w:r>
      <w:r w:rsidR="005547FA">
        <w:rPr>
          <w:rFonts w:ascii="Times New Roman" w:hAnsi="Times New Roman" w:cs="Times New Roman"/>
          <w:u w:val="single"/>
        </w:rPr>
        <w:t>drug</w:t>
      </w:r>
      <w:r w:rsidRPr="001914E1">
        <w:rPr>
          <w:rFonts w:ascii="Times New Roman" w:hAnsi="Times New Roman" w:cs="Times New Roman"/>
          <w:u w:val="single"/>
        </w:rPr>
        <w:t>-specific, stage-related basis and within quality-assured care structures.</w:t>
      </w:r>
    </w:p>
    <w:p w14:paraId="72550EF2" w14:textId="48D18998" w:rsidR="005B5EAD" w:rsidRPr="005547FA" w:rsidRDefault="004F25A3" w:rsidP="005D1555">
      <w:pPr>
        <w:pStyle w:val="berschrift2"/>
        <w:jc w:val="both"/>
        <w:rPr>
          <w:rFonts w:ascii="Times New Roman" w:hAnsi="Times New Roman" w:cs="Times New Roman"/>
          <w:color w:val="auto"/>
          <w:sz w:val="22"/>
          <w:szCs w:val="22"/>
          <w:lang w:val="en-GB"/>
        </w:rPr>
      </w:pPr>
      <w:r w:rsidRPr="005D1555">
        <w:rPr>
          <w:rFonts w:ascii="Times New Roman" w:hAnsi="Times New Roman" w:cs="Times New Roman"/>
          <w:color w:val="auto"/>
          <w:sz w:val="22"/>
          <w:szCs w:val="22"/>
        </w:rPr>
        <w:t>3. What follows from this from the DNG's point of view</w:t>
      </w:r>
    </w:p>
    <w:p w14:paraId="442B3E3E" w14:textId="1D72D573"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 xml:space="preserve">The current evidence does not justify uncritical enthusiasm or a blanket rejection of amyloid therapies. What is needed is a differentiated, patient-centered and care-oriented assessment, which is largely secured by the approval process for the drugs and by guideline decisions. These include a confirmed diagnosis of Alzheimer's disease in the early stages, proof of amyloid pathology, consideration of genetic and radiological risk factors, standardized education, close clinical and MRI-based monitoring, and treatment in specialized, interdisciplinary structures. Whether the substances are then assessed as socially relevant and cost-efficient in the care process will have to be reviewed and evaluated </w:t>
      </w:r>
      <w:proofErr w:type="gramStart"/>
      <w:r w:rsidRPr="005D1555">
        <w:rPr>
          <w:rFonts w:ascii="Times New Roman" w:hAnsi="Times New Roman" w:cs="Times New Roman"/>
        </w:rPr>
        <w:t>in the course of</w:t>
      </w:r>
      <w:proofErr w:type="gramEnd"/>
      <w:r w:rsidRPr="005D1555">
        <w:rPr>
          <w:rFonts w:ascii="Times New Roman" w:hAnsi="Times New Roman" w:cs="Times New Roman"/>
        </w:rPr>
        <w:t xml:space="preserve"> the process.</w:t>
      </w:r>
    </w:p>
    <w:p w14:paraId="49FFB2C1" w14:textId="56669816" w:rsidR="005B5EAD" w:rsidRPr="005547FA" w:rsidRDefault="004F25A3" w:rsidP="005D1555">
      <w:pPr>
        <w:jc w:val="both"/>
        <w:rPr>
          <w:rFonts w:ascii="Times New Roman" w:hAnsi="Times New Roman" w:cs="Times New Roman"/>
          <w:u w:val="single"/>
          <w:lang w:val="en-GB"/>
        </w:rPr>
      </w:pPr>
      <w:r w:rsidRPr="001914E1">
        <w:rPr>
          <w:rFonts w:ascii="Times New Roman" w:hAnsi="Times New Roman" w:cs="Times New Roman"/>
          <w:u w:val="single"/>
        </w:rPr>
        <w:t xml:space="preserve">Memory outpatient clinics are particularly suitable for the tasks of carrying out evidence-based Alzheimer's therapy. They have experience in early diagnosis, biomarker-based </w:t>
      </w:r>
      <w:r w:rsidR="005547FA">
        <w:rPr>
          <w:rFonts w:ascii="Times New Roman" w:hAnsi="Times New Roman" w:cs="Times New Roman"/>
          <w:u w:val="single"/>
        </w:rPr>
        <w:t>assessments</w:t>
      </w:r>
      <w:r w:rsidRPr="001914E1">
        <w:rPr>
          <w:rFonts w:ascii="Times New Roman" w:hAnsi="Times New Roman" w:cs="Times New Roman"/>
          <w:u w:val="single"/>
        </w:rPr>
        <w:t>, in the classification of comorbidities and in the support of complex treatment decisions. With the emergence of new potentially disease-modifying therapies, they are also playing a growing role in indication, safety monitoring, documentation of side effects and evaluation of care practice.</w:t>
      </w:r>
    </w:p>
    <w:p w14:paraId="717974F8" w14:textId="3683CC83" w:rsidR="005B5EAD" w:rsidRPr="005547FA" w:rsidRDefault="00582BEF" w:rsidP="005D1555">
      <w:pPr>
        <w:jc w:val="both"/>
        <w:rPr>
          <w:rFonts w:ascii="Times New Roman" w:hAnsi="Times New Roman" w:cs="Times New Roman"/>
          <w:lang w:val="en-GB"/>
        </w:rPr>
      </w:pPr>
      <w:r>
        <w:rPr>
          <w:rFonts w:ascii="Times New Roman" w:hAnsi="Times New Roman" w:cs="Times New Roman"/>
        </w:rPr>
        <w:t>The DNG therefore advocates an objective debate that clearly distinguishes authorisation, benefit assessment, meta-analysis and clinical care practice. Neither the G-BA decision on donanemab nor the Cochrane Review should be reinterpreted as a general rejection of therapies directed against amyloid. At the same time, security issues, implementation requirements and the limits of the evidence available to date must be clearly identified.</w:t>
      </w:r>
    </w:p>
    <w:p w14:paraId="5B894CA5" w14:textId="77777777" w:rsidR="005B5EAD" w:rsidRPr="005547FA" w:rsidRDefault="004F25A3" w:rsidP="005D1555">
      <w:pPr>
        <w:jc w:val="both"/>
        <w:rPr>
          <w:rFonts w:ascii="Times New Roman" w:hAnsi="Times New Roman" w:cs="Times New Roman"/>
          <w:lang w:val="en-GB"/>
        </w:rPr>
      </w:pPr>
      <w:r w:rsidRPr="005D1555">
        <w:rPr>
          <w:rFonts w:ascii="Times New Roman" w:hAnsi="Times New Roman" w:cs="Times New Roman"/>
        </w:rPr>
        <w:t>Our goal is an evidence-based and responsible introduction of new therapies: strict in indication, consistent in safety monitoring, realistic in communication with patients and relatives, and open to ongoing reassessment based on further study and care data.</w:t>
      </w:r>
    </w:p>
    <w:p w14:paraId="54514C5E" w14:textId="3D77E30C" w:rsidR="00237690" w:rsidRPr="005547FA" w:rsidRDefault="00237690" w:rsidP="005D1555">
      <w:pPr>
        <w:jc w:val="both"/>
        <w:rPr>
          <w:rFonts w:ascii="Times New Roman" w:hAnsi="Times New Roman" w:cs="Times New Roman"/>
          <w:lang w:val="en-GB"/>
        </w:rPr>
      </w:pPr>
      <w:r w:rsidRPr="00237690">
        <w:rPr>
          <w:rFonts w:ascii="Times New Roman" w:hAnsi="Times New Roman" w:cs="Times New Roman"/>
        </w:rPr>
        <w:t xml:space="preserve">Our critique of the Cochrane publication is directed exclusively against the review's </w:t>
      </w:r>
      <w:r w:rsidR="005547FA">
        <w:rPr>
          <w:rFonts w:ascii="Times New Roman" w:hAnsi="Times New Roman" w:cs="Times New Roman"/>
        </w:rPr>
        <w:t xml:space="preserve">biased questions </w:t>
      </w:r>
      <w:r w:rsidRPr="00237690">
        <w:rPr>
          <w:rFonts w:ascii="Times New Roman" w:hAnsi="Times New Roman" w:cs="Times New Roman"/>
        </w:rPr>
        <w:t>and the scope of its conclusions; it is to be understood independently of the regulatory or public functions of individual authors.</w:t>
      </w:r>
    </w:p>
    <w:p w14:paraId="72313685" w14:textId="5B3FB1A8" w:rsidR="005B5EAD" w:rsidRPr="005D1555" w:rsidRDefault="004F25A3" w:rsidP="005D1555">
      <w:pPr>
        <w:pStyle w:val="berschrift1"/>
        <w:jc w:val="both"/>
        <w:rPr>
          <w:rFonts w:ascii="Times New Roman" w:hAnsi="Times New Roman" w:cs="Times New Roman"/>
          <w:color w:val="auto"/>
          <w:sz w:val="22"/>
          <w:szCs w:val="22"/>
          <w:lang w:val="de-DE"/>
        </w:rPr>
      </w:pPr>
      <w:r w:rsidRPr="005D1555">
        <w:rPr>
          <w:rFonts w:ascii="Times New Roman" w:hAnsi="Times New Roman" w:cs="Times New Roman"/>
          <w:color w:val="auto"/>
          <w:sz w:val="22"/>
          <w:szCs w:val="22"/>
        </w:rPr>
        <w:lastRenderedPageBreak/>
        <w:t xml:space="preserve">Selected sources </w:t>
      </w:r>
    </w:p>
    <w:p w14:paraId="650589F8" w14:textId="77777777" w:rsidR="005B5EAD" w:rsidRPr="005547FA" w:rsidRDefault="004F25A3" w:rsidP="005D1555">
      <w:pPr>
        <w:pStyle w:val="Listennummer"/>
        <w:jc w:val="both"/>
        <w:rPr>
          <w:rFonts w:ascii="Times New Roman" w:hAnsi="Times New Roman" w:cs="Times New Roman"/>
          <w:lang w:val="en-GB"/>
        </w:rPr>
      </w:pPr>
      <w:r w:rsidRPr="005D1555">
        <w:rPr>
          <w:rFonts w:ascii="Times New Roman" w:hAnsi="Times New Roman" w:cs="Times New Roman"/>
        </w:rPr>
        <w:t>Federal Joint Committee (G-BA): Second new Alzheimer's drug also without proven additional benefit – G-BA assessment result is basis for price negotiations, 16.04.2026 https://www.g-ba.de/presse/pressemitteilungen-meldungen/1325/.</w:t>
      </w:r>
    </w:p>
    <w:p w14:paraId="208AE076" w14:textId="77777777" w:rsidR="005B5EAD" w:rsidRPr="005547FA" w:rsidRDefault="004F25A3" w:rsidP="005D1555">
      <w:pPr>
        <w:pStyle w:val="Listennummer"/>
        <w:jc w:val="both"/>
        <w:rPr>
          <w:rFonts w:ascii="Times New Roman" w:hAnsi="Times New Roman" w:cs="Times New Roman"/>
          <w:lang w:val="en-GB"/>
        </w:rPr>
      </w:pPr>
      <w:r w:rsidRPr="005D1555">
        <w:rPr>
          <w:rFonts w:ascii="Times New Roman" w:hAnsi="Times New Roman" w:cs="Times New Roman"/>
        </w:rPr>
        <w:t>Federal Joint Committee (G-BA): Supporting reasons for the decision on donanemab (early Alzheimer's disease) of 16.04.2026 https://www.g-ba.de/downloads/40-268-12549/2026-04-16_AM-RL-XII_Donanemab_D-1254_TrG.pdf.</w:t>
      </w:r>
    </w:p>
    <w:p w14:paraId="0AD1E1E4" w14:textId="77777777" w:rsidR="005B5EAD" w:rsidRPr="005D1555" w:rsidRDefault="004F25A3" w:rsidP="005D1555">
      <w:pPr>
        <w:pStyle w:val="Listennummer"/>
        <w:jc w:val="both"/>
        <w:rPr>
          <w:rFonts w:ascii="Times New Roman" w:hAnsi="Times New Roman" w:cs="Times New Roman"/>
        </w:rPr>
      </w:pPr>
      <w:r w:rsidRPr="005D1555">
        <w:rPr>
          <w:rFonts w:ascii="Times New Roman" w:hAnsi="Times New Roman" w:cs="Times New Roman"/>
        </w:rPr>
        <w:t>Cochrane Database of Systematic Reviews: Nonino F et al. Amyloid-beta-targeting monoclonal antibodies for people with mild cognitive impairment or mild dementia due to Alzheimer's disease. 2026, Issue 4, Art. No.: CD016297. https://www.cochrane.org/evidence/CD016297_are-medicines-anti-amyloid-monoclonal-antibodies-reduce-build-abnormal-proteins-brain-effective</w:t>
      </w:r>
    </w:p>
    <w:p w14:paraId="30D3A532" w14:textId="77777777" w:rsidR="005B5EAD" w:rsidRPr="005D1555" w:rsidRDefault="004F25A3" w:rsidP="005D1555">
      <w:pPr>
        <w:pStyle w:val="Listennummer"/>
        <w:jc w:val="both"/>
        <w:rPr>
          <w:rFonts w:ascii="Times New Roman" w:hAnsi="Times New Roman" w:cs="Times New Roman"/>
        </w:rPr>
      </w:pPr>
      <w:r w:rsidRPr="005D1555">
        <w:rPr>
          <w:rFonts w:ascii="Times New Roman" w:hAnsi="Times New Roman" w:cs="Times New Roman"/>
        </w:rPr>
        <w:t>Alzheimer's Society: New Cochrane review of amyloid targeting Alzheimer's disease treatments, 16.04.2026. https://www.alzheimers.org.uk/news/2026-04-16/new-cochrane-review-amyloid-targeting-alzheimers-disease-treatments</w:t>
      </w:r>
    </w:p>
    <w:p w14:paraId="42753FF0" w14:textId="77777777" w:rsidR="005B5EAD" w:rsidRPr="005547FA" w:rsidRDefault="004F25A3" w:rsidP="005D1555">
      <w:pPr>
        <w:pStyle w:val="Listennummer"/>
        <w:jc w:val="both"/>
        <w:rPr>
          <w:rFonts w:ascii="Times New Roman" w:hAnsi="Times New Roman" w:cs="Times New Roman"/>
          <w:lang w:val="en-GB"/>
        </w:rPr>
      </w:pPr>
      <w:r w:rsidRPr="005D1555">
        <w:rPr>
          <w:rFonts w:ascii="Times New Roman" w:hAnsi="Times New Roman" w:cs="Times New Roman"/>
        </w:rPr>
        <w:t>AWMF / DGN / DGPPN: S3 guideline on dementia, version 6.0, version of 24.02.2026 https://register.awmf.org/de/leitlinien/detail/038-013.</w:t>
      </w:r>
    </w:p>
    <w:p w14:paraId="2CE88733" w14:textId="63759FAA" w:rsidR="005B5EAD" w:rsidRPr="005D1555" w:rsidRDefault="004F25A3" w:rsidP="005D1555">
      <w:pPr>
        <w:pStyle w:val="Listennummer"/>
        <w:jc w:val="both"/>
        <w:rPr>
          <w:rFonts w:ascii="Times New Roman" w:hAnsi="Times New Roman" w:cs="Times New Roman"/>
        </w:rPr>
      </w:pPr>
      <w:r w:rsidRPr="005D1555">
        <w:rPr>
          <w:rFonts w:ascii="Times New Roman" w:hAnsi="Times New Roman" w:cs="Times New Roman"/>
        </w:rPr>
        <w:t xml:space="preserve">European Medicines Agency (EMA): </w:t>
      </w:r>
      <w:proofErr w:type="spellStart"/>
      <w:r w:rsidRPr="005D1555">
        <w:rPr>
          <w:rFonts w:ascii="Times New Roman" w:hAnsi="Times New Roman" w:cs="Times New Roman"/>
        </w:rPr>
        <w:t>Kisunla</w:t>
      </w:r>
      <w:proofErr w:type="spellEnd"/>
      <w:r w:rsidRPr="005D1555">
        <w:rPr>
          <w:rFonts w:ascii="Times New Roman" w:hAnsi="Times New Roman" w:cs="Times New Roman"/>
        </w:rPr>
        <w:t xml:space="preserve"> (donanemab), EPAR / Overview. https://www.ema.europa.eu/en/medicines/human/EPAR/kisunla</w:t>
      </w:r>
    </w:p>
    <w:sectPr w:rsidR="005B5EAD" w:rsidRPr="005D1555" w:rsidSect="00034616">
      <w:pgSz w:w="12240" w:h="15840"/>
      <w:pgMar w:top="1247" w:right="1361" w:bottom="1247" w:left="1361"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ourier">
    <w:panose1 w:val="02070409020205020404"/>
    <w:charset w:val="00"/>
    <w:family w:val="auto"/>
    <w:pitch w:val="variable"/>
    <w:sig w:usb0="00000003" w:usb1="00000000" w:usb2="00000000" w:usb3="00000000" w:csb0="00000001" w:csb1="00000000"/>
  </w:font>
  <w:font w:name="Segoe UI">
    <w:altName w:val="Sylfaen"/>
    <w:panose1 w:val="020B0502040204020203"/>
    <w:charset w:val="00"/>
    <w:family w:val="swiss"/>
    <w:pitch w:val="variable"/>
    <w:sig w:usb0="E4002EFF" w:usb1="C000E47F"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C310EC42"/>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E4089024"/>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FB12693A"/>
    <w:lvl w:ilvl="0">
      <w:start w:val="1"/>
      <w:numFmt w:val="decimal"/>
      <w:pStyle w:val="Listennummer3"/>
      <w:lvlText w:val="%1."/>
      <w:lvlJc w:val="left"/>
      <w:pPr>
        <w:tabs>
          <w:tab w:val="num" w:pos="1080"/>
        </w:tabs>
        <w:ind w:left="1080" w:hanging="360"/>
      </w:pPr>
    </w:lvl>
  </w:abstractNum>
  <w:abstractNum w:abstractNumId="3" w15:restartNumberingAfterBreak="0">
    <w:nsid w:val="FFFFFF7F"/>
    <w:multiLevelType w:val="singleLevel"/>
    <w:tmpl w:val="38441652"/>
    <w:lvl w:ilvl="0">
      <w:start w:val="1"/>
      <w:numFmt w:val="decimal"/>
      <w:pStyle w:val="Listennummer2"/>
      <w:lvlText w:val="%1."/>
      <w:lvlJc w:val="left"/>
      <w:pPr>
        <w:tabs>
          <w:tab w:val="num" w:pos="720"/>
        </w:tabs>
        <w:ind w:left="720" w:hanging="360"/>
      </w:pPr>
    </w:lvl>
  </w:abstractNum>
  <w:abstractNum w:abstractNumId="4" w15:restartNumberingAfterBreak="0">
    <w:nsid w:val="FFFFFF81"/>
    <w:multiLevelType w:val="singleLevel"/>
    <w:tmpl w:val="171AC3A4"/>
    <w:lvl w:ilvl="0">
      <w:start w:val="1"/>
      <w:numFmt w:val="bullet"/>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F3EAFDEC"/>
    <w:lvl w:ilvl="0">
      <w:start w:val="1"/>
      <w:numFmt w:val="bullet"/>
      <w:pStyle w:val="Aufzhlungszeichen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3D1EFFD4"/>
    <w:lvl w:ilvl="0">
      <w:start w:val="1"/>
      <w:numFmt w:val="bullet"/>
      <w:pStyle w:val="Aufzhlungszeichen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D0A62B40"/>
    <w:lvl w:ilvl="0">
      <w:start w:val="1"/>
      <w:numFmt w:val="decimal"/>
      <w:pStyle w:val="Listennummer"/>
      <w:lvlText w:val="%1."/>
      <w:lvlJc w:val="left"/>
      <w:pPr>
        <w:tabs>
          <w:tab w:val="num" w:pos="360"/>
        </w:tabs>
        <w:ind w:left="360" w:hanging="360"/>
      </w:pPr>
    </w:lvl>
  </w:abstractNum>
  <w:abstractNum w:abstractNumId="8" w15:restartNumberingAfterBreak="0">
    <w:nsid w:val="FFFFFF89"/>
    <w:multiLevelType w:val="singleLevel"/>
    <w:tmpl w:val="29761A62"/>
    <w:lvl w:ilvl="0">
      <w:start w:val="1"/>
      <w:numFmt w:val="bullet"/>
      <w:pStyle w:val="Aufzhlungszeichen"/>
      <w:lvlText w:val=""/>
      <w:lvlJc w:val="left"/>
      <w:pPr>
        <w:tabs>
          <w:tab w:val="num" w:pos="360"/>
        </w:tabs>
        <w:ind w:left="360" w:hanging="360"/>
      </w:pPr>
      <w:rPr>
        <w:rFonts w:ascii="Symbol" w:hAnsi="Symbol" w:hint="default"/>
      </w:rPr>
    </w:lvl>
  </w:abstractNum>
  <w:num w:numId="1" w16cid:durableId="1696269940">
    <w:abstractNumId w:val="8"/>
  </w:num>
  <w:num w:numId="2" w16cid:durableId="923614770">
    <w:abstractNumId w:val="6"/>
  </w:num>
  <w:num w:numId="3" w16cid:durableId="2032561888">
    <w:abstractNumId w:val="5"/>
  </w:num>
  <w:num w:numId="4" w16cid:durableId="983003669">
    <w:abstractNumId w:val="4"/>
  </w:num>
  <w:num w:numId="5" w16cid:durableId="227958137">
    <w:abstractNumId w:val="7"/>
  </w:num>
  <w:num w:numId="6" w16cid:durableId="1973905761">
    <w:abstractNumId w:val="3"/>
  </w:num>
  <w:num w:numId="7" w16cid:durableId="1573158112">
    <w:abstractNumId w:val="2"/>
  </w:num>
  <w:num w:numId="8" w16cid:durableId="655188333">
    <w:abstractNumId w:val="1"/>
  </w:num>
  <w:num w:numId="9" w16cid:durableId="53137805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7730"/>
    <w:rsid w:val="00034616"/>
    <w:rsid w:val="0006063C"/>
    <w:rsid w:val="00090574"/>
    <w:rsid w:val="000A2191"/>
    <w:rsid w:val="000B08D4"/>
    <w:rsid w:val="0010105F"/>
    <w:rsid w:val="0015074B"/>
    <w:rsid w:val="001914E1"/>
    <w:rsid w:val="00224244"/>
    <w:rsid w:val="00237690"/>
    <w:rsid w:val="0029639D"/>
    <w:rsid w:val="002D7972"/>
    <w:rsid w:val="003120C2"/>
    <w:rsid w:val="00326F90"/>
    <w:rsid w:val="0038120E"/>
    <w:rsid w:val="003B2DAD"/>
    <w:rsid w:val="003E3C79"/>
    <w:rsid w:val="004E3003"/>
    <w:rsid w:val="004F25A3"/>
    <w:rsid w:val="005547FA"/>
    <w:rsid w:val="0056587E"/>
    <w:rsid w:val="00582BEF"/>
    <w:rsid w:val="005B5EAD"/>
    <w:rsid w:val="005D1555"/>
    <w:rsid w:val="005D29C4"/>
    <w:rsid w:val="005F1362"/>
    <w:rsid w:val="00637436"/>
    <w:rsid w:val="006734F9"/>
    <w:rsid w:val="006F3954"/>
    <w:rsid w:val="006F3BF3"/>
    <w:rsid w:val="00793B47"/>
    <w:rsid w:val="007A65F8"/>
    <w:rsid w:val="007B3A01"/>
    <w:rsid w:val="00803831"/>
    <w:rsid w:val="00803D82"/>
    <w:rsid w:val="008A1EA9"/>
    <w:rsid w:val="008C5DFF"/>
    <w:rsid w:val="009669F1"/>
    <w:rsid w:val="00971E58"/>
    <w:rsid w:val="00A53509"/>
    <w:rsid w:val="00A9468E"/>
    <w:rsid w:val="00AA1D8D"/>
    <w:rsid w:val="00AF69BE"/>
    <w:rsid w:val="00B42A08"/>
    <w:rsid w:val="00B47730"/>
    <w:rsid w:val="00C4650C"/>
    <w:rsid w:val="00CB0664"/>
    <w:rsid w:val="00EA3C66"/>
    <w:rsid w:val="00EB126D"/>
    <w:rsid w:val="00EF0954"/>
    <w:rsid w:val="00F47CBC"/>
    <w:rsid w:val="00F76FAC"/>
    <w:rsid w:val="00FC693F"/>
    <w:rsid w:val="00FD359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DACE6C9"/>
  <w14:defaultImageDpi w14:val="300"/>
  <w15:docId w15:val="{F9719CA3-CA20-804E-A5C1-D1F9A56A50B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FC693F"/>
    <w:rPr>
      <w:rFonts w:ascii="Calibri" w:hAnsi="Calibri"/>
    </w:rPr>
  </w:style>
  <w:style w:type="paragraph" w:styleId="berschrift1">
    <w:name w:val="heading 1"/>
    <w:basedOn w:val="Standard"/>
    <w:next w:val="Standard"/>
    <w:link w:val="berschrift1Zchn"/>
    <w:uiPriority w:val="9"/>
    <w:qFormat/>
    <w:rsid w:val="00FC693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berschrift2">
    <w:name w:val="heading 2"/>
    <w:basedOn w:val="Standard"/>
    <w:next w:val="Standard"/>
    <w:link w:val="berschrift2Zchn"/>
    <w:uiPriority w:val="9"/>
    <w:unhideWhenUsed/>
    <w:qFormat/>
    <w:rsid w:val="00FC693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berschrift3">
    <w:name w:val="heading 3"/>
    <w:basedOn w:val="Standard"/>
    <w:next w:val="Standard"/>
    <w:link w:val="berschrift3Zchn"/>
    <w:uiPriority w:val="9"/>
    <w:unhideWhenUsed/>
    <w:qFormat/>
    <w:rsid w:val="00FC693F"/>
    <w:pPr>
      <w:keepNext/>
      <w:keepLines/>
      <w:spacing w:before="200" w:after="0"/>
      <w:outlineLvl w:val="2"/>
    </w:pPr>
    <w:rPr>
      <w:rFonts w:asciiTheme="majorHAnsi" w:eastAsiaTheme="majorEastAsia" w:hAnsiTheme="majorHAnsi" w:cstheme="majorBidi"/>
      <w:b/>
      <w:bCs/>
      <w:color w:val="4F81BD" w:themeColor="accent1"/>
    </w:rPr>
  </w:style>
  <w:style w:type="paragraph" w:styleId="berschrift4">
    <w:name w:val="heading 4"/>
    <w:basedOn w:val="Standard"/>
    <w:next w:val="Standard"/>
    <w:link w:val="berschrift4Zchn"/>
    <w:uiPriority w:val="9"/>
    <w:semiHidden/>
    <w:unhideWhenUsed/>
    <w:qFormat/>
    <w:rsid w:val="00FC693F"/>
    <w:pPr>
      <w:keepNext/>
      <w:keepLines/>
      <w:spacing w:before="200" w:after="0"/>
      <w:outlineLvl w:val="3"/>
    </w:pPr>
    <w:rPr>
      <w:rFonts w:asciiTheme="majorHAnsi" w:eastAsiaTheme="majorEastAsia" w:hAnsiTheme="majorHAnsi" w:cstheme="majorBidi"/>
      <w:b/>
      <w:bCs/>
      <w:i/>
      <w:iCs/>
      <w:color w:val="4F81BD" w:themeColor="accent1"/>
    </w:rPr>
  </w:style>
  <w:style w:type="paragraph" w:styleId="berschrift5">
    <w:name w:val="heading 5"/>
    <w:basedOn w:val="Standard"/>
    <w:next w:val="Standard"/>
    <w:link w:val="berschrift5Zchn"/>
    <w:uiPriority w:val="9"/>
    <w:semiHidden/>
    <w:unhideWhenUsed/>
    <w:qFormat/>
    <w:rsid w:val="00FC693F"/>
    <w:pPr>
      <w:keepNext/>
      <w:keepLines/>
      <w:spacing w:before="200" w:after="0"/>
      <w:outlineLvl w:val="4"/>
    </w:pPr>
    <w:rPr>
      <w:rFonts w:asciiTheme="majorHAnsi" w:eastAsiaTheme="majorEastAsia" w:hAnsiTheme="majorHAnsi" w:cstheme="majorBidi"/>
      <w:color w:val="243F60" w:themeColor="accent1" w:themeShade="7F"/>
    </w:rPr>
  </w:style>
  <w:style w:type="paragraph" w:styleId="berschrift6">
    <w:name w:val="heading 6"/>
    <w:basedOn w:val="Standard"/>
    <w:next w:val="Standard"/>
    <w:link w:val="berschrift6Zchn"/>
    <w:uiPriority w:val="9"/>
    <w:semiHidden/>
    <w:unhideWhenUsed/>
    <w:qFormat/>
    <w:rsid w:val="00FC693F"/>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berschrift7">
    <w:name w:val="heading 7"/>
    <w:basedOn w:val="Standard"/>
    <w:next w:val="Standard"/>
    <w:link w:val="berschrift7Zchn"/>
    <w:uiPriority w:val="9"/>
    <w:semiHidden/>
    <w:unhideWhenUsed/>
    <w:qFormat/>
    <w:rsid w:val="00FC693F"/>
    <w:pPr>
      <w:keepNext/>
      <w:keepLines/>
      <w:spacing w:before="200" w:after="0"/>
      <w:outlineLvl w:val="6"/>
    </w:pPr>
    <w:rPr>
      <w:rFonts w:asciiTheme="majorHAnsi" w:eastAsiaTheme="majorEastAsia" w:hAnsiTheme="majorHAnsi" w:cstheme="majorBidi"/>
      <w:i/>
      <w:iCs/>
      <w:color w:val="404040" w:themeColor="text1" w:themeTint="BF"/>
    </w:rPr>
  </w:style>
  <w:style w:type="paragraph" w:styleId="berschrift8">
    <w:name w:val="heading 8"/>
    <w:basedOn w:val="Standard"/>
    <w:next w:val="Standard"/>
    <w:link w:val="berschrift8Zchn"/>
    <w:uiPriority w:val="9"/>
    <w:semiHidden/>
    <w:unhideWhenUsed/>
    <w:qFormat/>
    <w:rsid w:val="00FC693F"/>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berschrift9">
    <w:name w:val="heading 9"/>
    <w:basedOn w:val="Standard"/>
    <w:next w:val="Standard"/>
    <w:link w:val="berschrift9Zchn"/>
    <w:uiPriority w:val="9"/>
    <w:semiHidden/>
    <w:unhideWhenUsed/>
    <w:qFormat/>
    <w:rsid w:val="00FC693F"/>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E618BF"/>
    <w:pPr>
      <w:tabs>
        <w:tab w:val="center" w:pos="4680"/>
        <w:tab w:val="right" w:pos="9360"/>
      </w:tabs>
      <w:spacing w:after="0" w:line="240" w:lineRule="auto"/>
    </w:pPr>
  </w:style>
  <w:style w:type="character" w:customStyle="1" w:styleId="KopfzeileZchn">
    <w:name w:val="Kopfzeile Zchn"/>
    <w:basedOn w:val="Absatz-Standardschriftart"/>
    <w:link w:val="Kopfzeile"/>
    <w:uiPriority w:val="99"/>
    <w:rsid w:val="00E618BF"/>
  </w:style>
  <w:style w:type="paragraph" w:styleId="Fuzeile">
    <w:name w:val="footer"/>
    <w:basedOn w:val="Standard"/>
    <w:link w:val="FuzeileZchn"/>
    <w:uiPriority w:val="99"/>
    <w:unhideWhenUsed/>
    <w:rsid w:val="00E618BF"/>
    <w:pPr>
      <w:tabs>
        <w:tab w:val="center" w:pos="4680"/>
        <w:tab w:val="right" w:pos="9360"/>
      </w:tabs>
      <w:spacing w:after="0" w:line="240" w:lineRule="auto"/>
    </w:pPr>
  </w:style>
  <w:style w:type="character" w:customStyle="1" w:styleId="FuzeileZchn">
    <w:name w:val="Fußzeile Zchn"/>
    <w:basedOn w:val="Absatz-Standardschriftart"/>
    <w:link w:val="Fuzeile"/>
    <w:uiPriority w:val="99"/>
    <w:rsid w:val="00E618BF"/>
  </w:style>
  <w:style w:type="paragraph" w:styleId="KeinLeerraum">
    <w:name w:val="No Spacing"/>
    <w:uiPriority w:val="1"/>
    <w:qFormat/>
    <w:rsid w:val="00FC693F"/>
    <w:pPr>
      <w:spacing w:after="0" w:line="240" w:lineRule="auto"/>
    </w:pPr>
  </w:style>
  <w:style w:type="character" w:customStyle="1" w:styleId="berschrift1Zchn">
    <w:name w:val="Überschrift 1 Zchn"/>
    <w:basedOn w:val="Absatz-Standardschriftart"/>
    <w:link w:val="berschrift1"/>
    <w:uiPriority w:val="9"/>
    <w:rsid w:val="00FC693F"/>
    <w:rPr>
      <w:rFonts w:asciiTheme="majorHAnsi" w:eastAsiaTheme="majorEastAsia" w:hAnsiTheme="majorHAnsi" w:cstheme="majorBidi"/>
      <w:b/>
      <w:bCs/>
      <w:color w:val="365F91" w:themeColor="accent1" w:themeShade="BF"/>
      <w:sz w:val="28"/>
      <w:szCs w:val="28"/>
    </w:rPr>
  </w:style>
  <w:style w:type="character" w:customStyle="1" w:styleId="berschrift2Zchn">
    <w:name w:val="Überschrift 2 Zchn"/>
    <w:basedOn w:val="Absatz-Standardschriftart"/>
    <w:link w:val="berschrift2"/>
    <w:uiPriority w:val="9"/>
    <w:rsid w:val="00FC693F"/>
    <w:rPr>
      <w:rFonts w:asciiTheme="majorHAnsi" w:eastAsiaTheme="majorEastAsia" w:hAnsiTheme="majorHAnsi" w:cstheme="majorBidi"/>
      <w:b/>
      <w:bCs/>
      <w:color w:val="4F81BD" w:themeColor="accent1"/>
      <w:sz w:val="26"/>
      <w:szCs w:val="26"/>
    </w:rPr>
  </w:style>
  <w:style w:type="character" w:customStyle="1" w:styleId="berschrift3Zchn">
    <w:name w:val="Überschrift 3 Zchn"/>
    <w:basedOn w:val="Absatz-Standardschriftart"/>
    <w:link w:val="berschrift3"/>
    <w:uiPriority w:val="9"/>
    <w:rsid w:val="00FC693F"/>
    <w:rPr>
      <w:rFonts w:asciiTheme="majorHAnsi" w:eastAsiaTheme="majorEastAsia" w:hAnsiTheme="majorHAnsi" w:cstheme="majorBidi"/>
      <w:b/>
      <w:bCs/>
      <w:color w:val="4F81BD" w:themeColor="accent1"/>
    </w:rPr>
  </w:style>
  <w:style w:type="paragraph" w:styleId="Titel">
    <w:name w:val="Title"/>
    <w:basedOn w:val="Standard"/>
    <w:next w:val="Standard"/>
    <w:link w:val="TitelZchn"/>
    <w:uiPriority w:val="10"/>
    <w:qFormat/>
    <w:rsid w:val="00FC693F"/>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elZchn">
    <w:name w:val="Titel Zchn"/>
    <w:basedOn w:val="Absatz-Standardschriftart"/>
    <w:link w:val="Titel"/>
    <w:uiPriority w:val="10"/>
    <w:rsid w:val="00FC693F"/>
    <w:rPr>
      <w:rFonts w:asciiTheme="majorHAnsi" w:eastAsiaTheme="majorEastAsia" w:hAnsiTheme="majorHAnsi" w:cstheme="majorBidi"/>
      <w:color w:val="17365D" w:themeColor="text2" w:themeShade="BF"/>
      <w:spacing w:val="5"/>
      <w:kern w:val="28"/>
      <w:sz w:val="52"/>
      <w:szCs w:val="52"/>
    </w:rPr>
  </w:style>
  <w:style w:type="paragraph" w:styleId="Untertitel">
    <w:name w:val="Subtitle"/>
    <w:basedOn w:val="Standard"/>
    <w:next w:val="Standard"/>
    <w:link w:val="UntertitelZchn"/>
    <w:uiPriority w:val="11"/>
    <w:qFormat/>
    <w:rsid w:val="00FC693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UntertitelZchn">
    <w:name w:val="Untertitel Zchn"/>
    <w:basedOn w:val="Absatz-Standardschriftart"/>
    <w:link w:val="Untertitel"/>
    <w:uiPriority w:val="11"/>
    <w:rsid w:val="00FC693F"/>
    <w:rPr>
      <w:rFonts w:asciiTheme="majorHAnsi" w:eastAsiaTheme="majorEastAsia" w:hAnsiTheme="majorHAnsi" w:cstheme="majorBidi"/>
      <w:i/>
      <w:iCs/>
      <w:color w:val="4F81BD" w:themeColor="accent1"/>
      <w:spacing w:val="15"/>
      <w:sz w:val="24"/>
      <w:szCs w:val="24"/>
    </w:rPr>
  </w:style>
  <w:style w:type="paragraph" w:styleId="Listenabsatz">
    <w:name w:val="List Paragraph"/>
    <w:basedOn w:val="Standard"/>
    <w:uiPriority w:val="34"/>
    <w:qFormat/>
    <w:rsid w:val="00FC693F"/>
    <w:pPr>
      <w:ind w:left="720"/>
      <w:contextualSpacing/>
    </w:pPr>
  </w:style>
  <w:style w:type="paragraph" w:styleId="Textkrper">
    <w:name w:val="Body Text"/>
    <w:basedOn w:val="Standard"/>
    <w:link w:val="TextkrperZchn"/>
    <w:uiPriority w:val="99"/>
    <w:unhideWhenUsed/>
    <w:rsid w:val="00AA1D8D"/>
    <w:pPr>
      <w:spacing w:after="120"/>
    </w:pPr>
  </w:style>
  <w:style w:type="character" w:customStyle="1" w:styleId="TextkrperZchn">
    <w:name w:val="Textkörper Zchn"/>
    <w:basedOn w:val="Absatz-Standardschriftart"/>
    <w:link w:val="Textkrper"/>
    <w:uiPriority w:val="99"/>
    <w:rsid w:val="00AA1D8D"/>
  </w:style>
  <w:style w:type="paragraph" w:styleId="Textkrper2">
    <w:name w:val="Body Text 2"/>
    <w:basedOn w:val="Standard"/>
    <w:link w:val="Textkrper2Zchn"/>
    <w:uiPriority w:val="99"/>
    <w:unhideWhenUsed/>
    <w:rsid w:val="00AA1D8D"/>
    <w:pPr>
      <w:spacing w:after="120" w:line="480" w:lineRule="auto"/>
    </w:pPr>
  </w:style>
  <w:style w:type="character" w:customStyle="1" w:styleId="Textkrper2Zchn">
    <w:name w:val="Textkörper 2 Zchn"/>
    <w:basedOn w:val="Absatz-Standardschriftart"/>
    <w:link w:val="Textkrper2"/>
    <w:uiPriority w:val="99"/>
    <w:rsid w:val="00AA1D8D"/>
  </w:style>
  <w:style w:type="paragraph" w:styleId="Textkrper3">
    <w:name w:val="Body Text 3"/>
    <w:basedOn w:val="Standard"/>
    <w:link w:val="Textkrper3Zchn"/>
    <w:uiPriority w:val="99"/>
    <w:unhideWhenUsed/>
    <w:rsid w:val="00AA1D8D"/>
    <w:pPr>
      <w:spacing w:after="120"/>
    </w:pPr>
    <w:rPr>
      <w:sz w:val="16"/>
      <w:szCs w:val="16"/>
    </w:rPr>
  </w:style>
  <w:style w:type="character" w:customStyle="1" w:styleId="Textkrper3Zchn">
    <w:name w:val="Textkörper 3 Zchn"/>
    <w:basedOn w:val="Absatz-Standardschriftart"/>
    <w:link w:val="Textkrper3"/>
    <w:uiPriority w:val="99"/>
    <w:rsid w:val="00AA1D8D"/>
    <w:rPr>
      <w:sz w:val="16"/>
      <w:szCs w:val="16"/>
    </w:rPr>
  </w:style>
  <w:style w:type="paragraph" w:styleId="Liste">
    <w:name w:val="List"/>
    <w:basedOn w:val="Standard"/>
    <w:uiPriority w:val="99"/>
    <w:unhideWhenUsed/>
    <w:rsid w:val="00AA1D8D"/>
    <w:pPr>
      <w:ind w:left="360" w:hanging="360"/>
      <w:contextualSpacing/>
    </w:pPr>
  </w:style>
  <w:style w:type="paragraph" w:styleId="Liste2">
    <w:name w:val="List 2"/>
    <w:basedOn w:val="Standard"/>
    <w:uiPriority w:val="99"/>
    <w:unhideWhenUsed/>
    <w:rsid w:val="00326F90"/>
    <w:pPr>
      <w:ind w:left="720" w:hanging="360"/>
      <w:contextualSpacing/>
    </w:pPr>
  </w:style>
  <w:style w:type="paragraph" w:styleId="Liste3">
    <w:name w:val="List 3"/>
    <w:basedOn w:val="Standard"/>
    <w:uiPriority w:val="99"/>
    <w:unhideWhenUsed/>
    <w:rsid w:val="00326F90"/>
    <w:pPr>
      <w:ind w:left="1080" w:hanging="360"/>
      <w:contextualSpacing/>
    </w:pPr>
  </w:style>
  <w:style w:type="paragraph" w:styleId="Aufzhlungszeichen">
    <w:name w:val="List Bullet"/>
    <w:basedOn w:val="Standard"/>
    <w:uiPriority w:val="99"/>
    <w:unhideWhenUsed/>
    <w:rsid w:val="00326F90"/>
    <w:pPr>
      <w:numPr>
        <w:numId w:val="1"/>
      </w:numPr>
      <w:contextualSpacing/>
    </w:pPr>
  </w:style>
  <w:style w:type="paragraph" w:styleId="Aufzhlungszeichen2">
    <w:name w:val="List Bullet 2"/>
    <w:basedOn w:val="Standard"/>
    <w:uiPriority w:val="99"/>
    <w:unhideWhenUsed/>
    <w:rsid w:val="00326F90"/>
    <w:pPr>
      <w:numPr>
        <w:numId w:val="2"/>
      </w:numPr>
      <w:contextualSpacing/>
    </w:pPr>
  </w:style>
  <w:style w:type="paragraph" w:styleId="Aufzhlungszeichen3">
    <w:name w:val="List Bullet 3"/>
    <w:basedOn w:val="Standard"/>
    <w:uiPriority w:val="99"/>
    <w:unhideWhenUsed/>
    <w:rsid w:val="00326F90"/>
    <w:pPr>
      <w:numPr>
        <w:numId w:val="3"/>
      </w:numPr>
      <w:contextualSpacing/>
    </w:pPr>
  </w:style>
  <w:style w:type="paragraph" w:styleId="Listennummer">
    <w:name w:val="List Number"/>
    <w:basedOn w:val="Standard"/>
    <w:uiPriority w:val="99"/>
    <w:unhideWhenUsed/>
    <w:rsid w:val="00326F90"/>
    <w:pPr>
      <w:numPr>
        <w:numId w:val="5"/>
      </w:numPr>
      <w:contextualSpacing/>
    </w:pPr>
  </w:style>
  <w:style w:type="paragraph" w:styleId="Listennummer2">
    <w:name w:val="List Number 2"/>
    <w:basedOn w:val="Standard"/>
    <w:uiPriority w:val="99"/>
    <w:unhideWhenUsed/>
    <w:rsid w:val="0029639D"/>
    <w:pPr>
      <w:numPr>
        <w:numId w:val="6"/>
      </w:numPr>
      <w:contextualSpacing/>
    </w:pPr>
  </w:style>
  <w:style w:type="paragraph" w:styleId="Listennummer3">
    <w:name w:val="List Number 3"/>
    <w:basedOn w:val="Standard"/>
    <w:uiPriority w:val="99"/>
    <w:unhideWhenUsed/>
    <w:rsid w:val="0029639D"/>
    <w:pPr>
      <w:numPr>
        <w:numId w:val="7"/>
      </w:numPr>
      <w:contextualSpacing/>
    </w:pPr>
  </w:style>
  <w:style w:type="paragraph" w:styleId="Listenfortsetzung">
    <w:name w:val="List Continue"/>
    <w:basedOn w:val="Standard"/>
    <w:uiPriority w:val="99"/>
    <w:unhideWhenUsed/>
    <w:rsid w:val="0029639D"/>
    <w:pPr>
      <w:spacing w:after="120"/>
      <w:ind w:left="360"/>
      <w:contextualSpacing/>
    </w:pPr>
  </w:style>
  <w:style w:type="paragraph" w:styleId="Listenfortsetzung2">
    <w:name w:val="List Continue 2"/>
    <w:basedOn w:val="Standard"/>
    <w:uiPriority w:val="99"/>
    <w:unhideWhenUsed/>
    <w:rsid w:val="0029639D"/>
    <w:pPr>
      <w:spacing w:after="120"/>
      <w:ind w:left="720"/>
      <w:contextualSpacing/>
    </w:pPr>
  </w:style>
  <w:style w:type="paragraph" w:styleId="Listenfortsetzung3">
    <w:name w:val="List Continue 3"/>
    <w:basedOn w:val="Standard"/>
    <w:uiPriority w:val="99"/>
    <w:unhideWhenUsed/>
    <w:rsid w:val="0029639D"/>
    <w:pPr>
      <w:spacing w:after="120"/>
      <w:ind w:left="1080"/>
      <w:contextualSpacing/>
    </w:pPr>
  </w:style>
  <w:style w:type="paragraph" w:styleId="Makrotext">
    <w:name w:val="macro"/>
    <w:link w:val="MakrotextZchn"/>
    <w:uiPriority w:val="99"/>
    <w:unhideWhenUsed/>
    <w:rsid w:val="0029639D"/>
    <w:pPr>
      <w:tabs>
        <w:tab w:val="left" w:pos="576"/>
        <w:tab w:val="left" w:pos="1152"/>
        <w:tab w:val="left" w:pos="1728"/>
        <w:tab w:val="left" w:pos="2304"/>
        <w:tab w:val="left" w:pos="2880"/>
        <w:tab w:val="left" w:pos="3456"/>
        <w:tab w:val="left" w:pos="4032"/>
      </w:tabs>
    </w:pPr>
    <w:rPr>
      <w:rFonts w:ascii="Courier" w:hAnsi="Courier"/>
      <w:sz w:val="20"/>
      <w:szCs w:val="20"/>
    </w:rPr>
  </w:style>
  <w:style w:type="character" w:customStyle="1" w:styleId="MakrotextZchn">
    <w:name w:val="Makrotext Zchn"/>
    <w:basedOn w:val="Absatz-Standardschriftart"/>
    <w:link w:val="Makrotext"/>
    <w:uiPriority w:val="99"/>
    <w:rsid w:val="0029639D"/>
    <w:rPr>
      <w:rFonts w:ascii="Courier" w:hAnsi="Courier"/>
      <w:sz w:val="20"/>
      <w:szCs w:val="20"/>
    </w:rPr>
  </w:style>
  <w:style w:type="paragraph" w:styleId="Zitat">
    <w:name w:val="Quote"/>
    <w:basedOn w:val="Standard"/>
    <w:next w:val="Standard"/>
    <w:link w:val="ZitatZchn"/>
    <w:uiPriority w:val="29"/>
    <w:qFormat/>
    <w:rsid w:val="00FC693F"/>
    <w:rPr>
      <w:i/>
      <w:iCs/>
      <w:color w:val="000000" w:themeColor="text1"/>
    </w:rPr>
  </w:style>
  <w:style w:type="character" w:customStyle="1" w:styleId="ZitatZchn">
    <w:name w:val="Zitat Zchn"/>
    <w:basedOn w:val="Absatz-Standardschriftart"/>
    <w:link w:val="Zitat"/>
    <w:uiPriority w:val="29"/>
    <w:rsid w:val="00FC693F"/>
    <w:rPr>
      <w:i/>
      <w:iCs/>
      <w:color w:val="000000" w:themeColor="text1"/>
    </w:rPr>
  </w:style>
  <w:style w:type="character" w:customStyle="1" w:styleId="berschrift4Zchn">
    <w:name w:val="Überschrift 4 Zchn"/>
    <w:basedOn w:val="Absatz-Standardschriftart"/>
    <w:link w:val="berschrift4"/>
    <w:uiPriority w:val="9"/>
    <w:semiHidden/>
    <w:rsid w:val="00FC693F"/>
    <w:rPr>
      <w:rFonts w:asciiTheme="majorHAnsi" w:eastAsiaTheme="majorEastAsia" w:hAnsiTheme="majorHAnsi" w:cstheme="majorBidi"/>
      <w:b/>
      <w:bCs/>
      <w:i/>
      <w:iCs/>
      <w:color w:val="4F81BD" w:themeColor="accent1"/>
    </w:rPr>
  </w:style>
  <w:style w:type="character" w:customStyle="1" w:styleId="berschrift5Zchn">
    <w:name w:val="Überschrift 5 Zchn"/>
    <w:basedOn w:val="Absatz-Standardschriftart"/>
    <w:link w:val="berschrift5"/>
    <w:uiPriority w:val="9"/>
    <w:semiHidden/>
    <w:rsid w:val="00FC693F"/>
    <w:rPr>
      <w:rFonts w:asciiTheme="majorHAnsi" w:eastAsiaTheme="majorEastAsia" w:hAnsiTheme="majorHAnsi" w:cstheme="majorBidi"/>
      <w:color w:val="243F60" w:themeColor="accent1" w:themeShade="7F"/>
    </w:rPr>
  </w:style>
  <w:style w:type="character" w:customStyle="1" w:styleId="berschrift6Zchn">
    <w:name w:val="Überschrift 6 Zchn"/>
    <w:basedOn w:val="Absatz-Standardschriftart"/>
    <w:link w:val="berschrift6"/>
    <w:uiPriority w:val="9"/>
    <w:semiHidden/>
    <w:rsid w:val="00FC693F"/>
    <w:rPr>
      <w:rFonts w:asciiTheme="majorHAnsi" w:eastAsiaTheme="majorEastAsia" w:hAnsiTheme="majorHAnsi" w:cstheme="majorBidi"/>
      <w:i/>
      <w:iCs/>
      <w:color w:val="243F60" w:themeColor="accent1" w:themeShade="7F"/>
    </w:rPr>
  </w:style>
  <w:style w:type="character" w:customStyle="1" w:styleId="berschrift7Zchn">
    <w:name w:val="Überschrift 7 Zchn"/>
    <w:basedOn w:val="Absatz-Standardschriftart"/>
    <w:link w:val="berschrift7"/>
    <w:uiPriority w:val="9"/>
    <w:semiHidden/>
    <w:rsid w:val="00FC693F"/>
    <w:rPr>
      <w:rFonts w:asciiTheme="majorHAnsi" w:eastAsiaTheme="majorEastAsia" w:hAnsiTheme="majorHAnsi" w:cstheme="majorBidi"/>
      <w:i/>
      <w:iCs/>
      <w:color w:val="404040" w:themeColor="text1" w:themeTint="BF"/>
    </w:rPr>
  </w:style>
  <w:style w:type="character" w:customStyle="1" w:styleId="berschrift8Zchn">
    <w:name w:val="Überschrift 8 Zchn"/>
    <w:basedOn w:val="Absatz-Standardschriftart"/>
    <w:link w:val="berschrift8"/>
    <w:uiPriority w:val="9"/>
    <w:semiHidden/>
    <w:rsid w:val="00FC693F"/>
    <w:rPr>
      <w:rFonts w:asciiTheme="majorHAnsi" w:eastAsiaTheme="majorEastAsia" w:hAnsiTheme="majorHAnsi" w:cstheme="majorBidi"/>
      <w:color w:val="4F81BD" w:themeColor="accent1"/>
      <w:sz w:val="20"/>
      <w:szCs w:val="20"/>
    </w:rPr>
  </w:style>
  <w:style w:type="character" w:customStyle="1" w:styleId="berschrift9Zchn">
    <w:name w:val="Überschrift 9 Zchn"/>
    <w:basedOn w:val="Absatz-Standardschriftart"/>
    <w:link w:val="berschrift9"/>
    <w:uiPriority w:val="9"/>
    <w:semiHidden/>
    <w:rsid w:val="00FC693F"/>
    <w:rPr>
      <w:rFonts w:asciiTheme="majorHAnsi" w:eastAsiaTheme="majorEastAsia" w:hAnsiTheme="majorHAnsi" w:cstheme="majorBidi"/>
      <w:i/>
      <w:iCs/>
      <w:color w:val="404040" w:themeColor="text1" w:themeTint="BF"/>
      <w:sz w:val="20"/>
      <w:szCs w:val="20"/>
    </w:rPr>
  </w:style>
  <w:style w:type="paragraph" w:styleId="Beschriftung">
    <w:name w:val="caption"/>
    <w:basedOn w:val="Standard"/>
    <w:next w:val="Standard"/>
    <w:uiPriority w:val="35"/>
    <w:semiHidden/>
    <w:unhideWhenUsed/>
    <w:qFormat/>
    <w:rsid w:val="00FC693F"/>
    <w:pPr>
      <w:spacing w:line="240" w:lineRule="auto"/>
    </w:pPr>
    <w:rPr>
      <w:b/>
      <w:bCs/>
      <w:color w:val="4F81BD" w:themeColor="accent1"/>
      <w:sz w:val="18"/>
      <w:szCs w:val="18"/>
    </w:rPr>
  </w:style>
  <w:style w:type="character" w:styleId="Fett">
    <w:name w:val="Strong"/>
    <w:basedOn w:val="Absatz-Standardschriftart"/>
    <w:uiPriority w:val="22"/>
    <w:qFormat/>
    <w:rsid w:val="00FC693F"/>
    <w:rPr>
      <w:b/>
      <w:bCs/>
    </w:rPr>
  </w:style>
  <w:style w:type="character" w:styleId="Hervorhebung">
    <w:name w:val="Emphasis"/>
    <w:basedOn w:val="Absatz-Standardschriftart"/>
    <w:uiPriority w:val="20"/>
    <w:qFormat/>
    <w:rsid w:val="00FC693F"/>
    <w:rPr>
      <w:i/>
      <w:iCs/>
    </w:rPr>
  </w:style>
  <w:style w:type="paragraph" w:styleId="IntensivesZitat">
    <w:name w:val="Intense Quote"/>
    <w:basedOn w:val="Standard"/>
    <w:next w:val="Standard"/>
    <w:link w:val="IntensivesZitatZchn"/>
    <w:uiPriority w:val="30"/>
    <w:qFormat/>
    <w:rsid w:val="00FC693F"/>
    <w:pPr>
      <w:pBdr>
        <w:bottom w:val="single" w:sz="4" w:space="4" w:color="4F81BD" w:themeColor="accent1"/>
      </w:pBdr>
      <w:spacing w:before="200" w:after="280"/>
      <w:ind w:left="936" w:right="936"/>
    </w:pPr>
    <w:rPr>
      <w:b/>
      <w:bCs/>
      <w:i/>
      <w:iCs/>
      <w:color w:val="4F81BD" w:themeColor="accent1"/>
    </w:rPr>
  </w:style>
  <w:style w:type="character" w:customStyle="1" w:styleId="IntensivesZitatZchn">
    <w:name w:val="Intensives Zitat Zchn"/>
    <w:basedOn w:val="Absatz-Standardschriftart"/>
    <w:link w:val="IntensivesZitat"/>
    <w:uiPriority w:val="30"/>
    <w:rsid w:val="00FC693F"/>
    <w:rPr>
      <w:b/>
      <w:bCs/>
      <w:i/>
      <w:iCs/>
      <w:color w:val="4F81BD" w:themeColor="accent1"/>
    </w:rPr>
  </w:style>
  <w:style w:type="character" w:styleId="SchwacheHervorhebung">
    <w:name w:val="Subtle Emphasis"/>
    <w:basedOn w:val="Absatz-Standardschriftart"/>
    <w:uiPriority w:val="19"/>
    <w:qFormat/>
    <w:rsid w:val="00FC693F"/>
    <w:rPr>
      <w:i/>
      <w:iCs/>
      <w:color w:val="808080" w:themeColor="text1" w:themeTint="7F"/>
    </w:rPr>
  </w:style>
  <w:style w:type="character" w:styleId="IntensiveHervorhebung">
    <w:name w:val="Intense Emphasis"/>
    <w:basedOn w:val="Absatz-Standardschriftart"/>
    <w:uiPriority w:val="21"/>
    <w:qFormat/>
    <w:rsid w:val="00FC693F"/>
    <w:rPr>
      <w:b/>
      <w:bCs/>
      <w:i/>
      <w:iCs/>
      <w:color w:val="4F81BD" w:themeColor="accent1"/>
    </w:rPr>
  </w:style>
  <w:style w:type="character" w:styleId="SchwacherVerweis">
    <w:name w:val="Subtle Reference"/>
    <w:basedOn w:val="Absatz-Standardschriftart"/>
    <w:uiPriority w:val="31"/>
    <w:qFormat/>
    <w:rsid w:val="00FC693F"/>
    <w:rPr>
      <w:smallCaps/>
      <w:color w:val="C0504D" w:themeColor="accent2"/>
      <w:u w:val="single"/>
    </w:rPr>
  </w:style>
  <w:style w:type="character" w:styleId="IntensiverVerweis">
    <w:name w:val="Intense Reference"/>
    <w:basedOn w:val="Absatz-Standardschriftart"/>
    <w:uiPriority w:val="32"/>
    <w:qFormat/>
    <w:rsid w:val="00FC693F"/>
    <w:rPr>
      <w:b/>
      <w:bCs/>
      <w:smallCaps/>
      <w:color w:val="C0504D" w:themeColor="accent2"/>
      <w:spacing w:val="5"/>
      <w:u w:val="single"/>
    </w:rPr>
  </w:style>
  <w:style w:type="character" w:styleId="Buchtitel">
    <w:name w:val="Book Title"/>
    <w:basedOn w:val="Absatz-Standardschriftart"/>
    <w:uiPriority w:val="33"/>
    <w:qFormat/>
    <w:rsid w:val="00FC693F"/>
    <w:rPr>
      <w:b/>
      <w:bCs/>
      <w:smallCaps/>
      <w:spacing w:val="5"/>
    </w:rPr>
  </w:style>
  <w:style w:type="paragraph" w:styleId="Inhaltsverzeichnisberschrift">
    <w:name w:val="TOC Heading"/>
    <w:basedOn w:val="berschrift1"/>
    <w:next w:val="Standard"/>
    <w:uiPriority w:val="39"/>
    <w:semiHidden/>
    <w:unhideWhenUsed/>
    <w:qFormat/>
    <w:rsid w:val="00FC693F"/>
    <w:pPr>
      <w:outlineLvl w:val="9"/>
    </w:pPr>
  </w:style>
  <w:style w:type="table" w:styleId="Tabellenraster">
    <w:name w:val="Table Grid"/>
    <w:basedOn w:val="NormaleTabelle"/>
    <w:uiPriority w:val="59"/>
    <w:rsid w:val="00FC69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HelleSchattierung">
    <w:name w:val="Light Shading"/>
    <w:basedOn w:val="NormaleTabelle"/>
    <w:uiPriority w:val="60"/>
    <w:rsid w:val="00FC693F"/>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HelleSchattierung-Akzent1">
    <w:name w:val="Light Shading Accent 1"/>
    <w:basedOn w:val="NormaleTabelle"/>
    <w:uiPriority w:val="60"/>
    <w:rsid w:val="00FC693F"/>
    <w:pPr>
      <w:spacing w:after="0" w:line="240" w:lineRule="auto"/>
    </w:pPr>
    <w:rPr>
      <w:color w:val="365F91" w:themeColor="accent1" w:themeShade="BF"/>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HelleSchattierung-Akzent2">
    <w:name w:val="Light Shading Accent 2"/>
    <w:basedOn w:val="NormaleTabelle"/>
    <w:uiPriority w:val="60"/>
    <w:rsid w:val="00FC693F"/>
    <w:pPr>
      <w:spacing w:after="0" w:line="240" w:lineRule="auto"/>
    </w:pPr>
    <w:rPr>
      <w:color w:val="943634" w:themeColor="accent2" w:themeShade="BF"/>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HelleSchattierung-Akzent3">
    <w:name w:val="Light Shading Accent 3"/>
    <w:basedOn w:val="NormaleTabelle"/>
    <w:uiPriority w:val="60"/>
    <w:rsid w:val="00FC693F"/>
    <w:pPr>
      <w:spacing w:after="0" w:line="240" w:lineRule="auto"/>
    </w:pPr>
    <w:rPr>
      <w:color w:val="76923C" w:themeColor="accent3" w:themeShade="BF"/>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HelleSchattierung-Akzent4">
    <w:name w:val="Light Shading Accent 4"/>
    <w:basedOn w:val="NormaleTabelle"/>
    <w:uiPriority w:val="60"/>
    <w:rsid w:val="00FC693F"/>
    <w:pPr>
      <w:spacing w:after="0" w:line="240" w:lineRule="auto"/>
    </w:pPr>
    <w:rPr>
      <w:color w:val="5F497A" w:themeColor="accent4" w:themeShade="BF"/>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HelleSchattierung-Akzent5">
    <w:name w:val="Light Shading Accent 5"/>
    <w:basedOn w:val="NormaleTabelle"/>
    <w:uiPriority w:val="60"/>
    <w:rsid w:val="00FC693F"/>
    <w:pPr>
      <w:spacing w:after="0" w:line="240" w:lineRule="auto"/>
    </w:pPr>
    <w:rPr>
      <w:color w:val="31849B" w:themeColor="accent5" w:themeShade="BF"/>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HelleSchattierung-Akzent6">
    <w:name w:val="Light Shading Accent 6"/>
    <w:basedOn w:val="NormaleTabelle"/>
    <w:uiPriority w:val="60"/>
    <w:rsid w:val="00FC693F"/>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HelleListe">
    <w:name w:val="Light List"/>
    <w:basedOn w:val="NormaleTabelle"/>
    <w:uiPriority w:val="61"/>
    <w:rsid w:val="00FC693F"/>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HelleListe-Akzent1">
    <w:name w:val="Light List Accent 1"/>
    <w:basedOn w:val="NormaleTabelle"/>
    <w:uiPriority w:val="61"/>
    <w:rsid w:val="00FC693F"/>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HelleListe-Akzent2">
    <w:name w:val="Light List Accent 2"/>
    <w:basedOn w:val="NormaleTabelle"/>
    <w:uiPriority w:val="61"/>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HelleListe-Akzent3">
    <w:name w:val="Light List Accent 3"/>
    <w:basedOn w:val="NormaleTabelle"/>
    <w:uiPriority w:val="61"/>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HelleListe-Akzent4">
    <w:name w:val="Light List Accent 4"/>
    <w:basedOn w:val="NormaleTabelle"/>
    <w:uiPriority w:val="61"/>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HelleListe-Akzent5">
    <w:name w:val="Light List Accent 5"/>
    <w:basedOn w:val="NormaleTabelle"/>
    <w:uiPriority w:val="61"/>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HelleListe-Akzent6">
    <w:name w:val="Light List Accent 6"/>
    <w:basedOn w:val="NormaleTabelle"/>
    <w:uiPriority w:val="61"/>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HellesRaster">
    <w:name w:val="Light Grid"/>
    <w:basedOn w:val="NormaleTabelle"/>
    <w:uiPriority w:val="62"/>
    <w:rsid w:val="00CB0664"/>
    <w:pPr>
      <w:spacing w:after="0" w:line="240" w:lineRule="auto"/>
    </w:p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HellesRaster-Akzent1">
    <w:name w:val="Light Grid Accent 1"/>
    <w:basedOn w:val="NormaleTabelle"/>
    <w:uiPriority w:val="62"/>
    <w:rsid w:val="00CB0664"/>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HellesRaster-Akzent2">
    <w:name w:val="Light Grid Accent 2"/>
    <w:basedOn w:val="NormaleTabelle"/>
    <w:uiPriority w:val="62"/>
    <w:rsid w:val="00CB0664"/>
    <w:pPr>
      <w:spacing w:after="0" w:line="240" w:lineRule="auto"/>
    </w:p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HellesRaster-Akzent3">
    <w:name w:val="Light Grid Accent 3"/>
    <w:basedOn w:val="NormaleTabelle"/>
    <w:uiPriority w:val="62"/>
    <w:rsid w:val="00CB0664"/>
    <w:pPr>
      <w:spacing w:after="0" w:line="240" w:lineRule="auto"/>
    </w:p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HellesRaster-Akzent4">
    <w:name w:val="Light Grid Accent 4"/>
    <w:basedOn w:val="NormaleTabelle"/>
    <w:uiPriority w:val="62"/>
    <w:rsid w:val="00CB0664"/>
    <w:pPr>
      <w:spacing w:after="0" w:line="240" w:lineRule="auto"/>
    </w:p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HellesRaster-Akzent5">
    <w:name w:val="Light Grid Accent 5"/>
    <w:basedOn w:val="NormaleTabelle"/>
    <w:uiPriority w:val="62"/>
    <w:rsid w:val="00CB0664"/>
    <w:pPr>
      <w:spacing w:after="0" w:line="240" w:lineRule="auto"/>
    </w:p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HellesRaster-Akzent6">
    <w:name w:val="Light Grid Accent 6"/>
    <w:basedOn w:val="NormaleTabelle"/>
    <w:uiPriority w:val="62"/>
    <w:rsid w:val="00CB0664"/>
    <w:pPr>
      <w:spacing w:after="0" w:line="240" w:lineRule="auto"/>
    </w:p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MittlereSchattierung1">
    <w:name w:val="Medium Shading 1"/>
    <w:basedOn w:val="NormaleTabelle"/>
    <w:uiPriority w:val="63"/>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MittlereSchattierung1-Akzent1">
    <w:name w:val="Medium Shading 1 Accent 1"/>
    <w:basedOn w:val="NormaleTabelle"/>
    <w:uiPriority w:val="63"/>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MittlereSchattierung1-Akzent2">
    <w:name w:val="Medium Shading 1 Accent 2"/>
    <w:basedOn w:val="NormaleTabelle"/>
    <w:uiPriority w:val="63"/>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MittlereSchattierung1-Akzent3">
    <w:name w:val="Medium Shading 1 Accent 3"/>
    <w:basedOn w:val="NormaleTabelle"/>
    <w:uiPriority w:val="63"/>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MittlereSchattierung1-Akzent4">
    <w:name w:val="Medium Shading 1 Accent 4"/>
    <w:basedOn w:val="NormaleTabelle"/>
    <w:uiPriority w:val="63"/>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MittlereSchattierung1-Akzent5">
    <w:name w:val="Medium Shading 1 Accent 5"/>
    <w:basedOn w:val="NormaleTabelle"/>
    <w:uiPriority w:val="63"/>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ittlereSchattierung1-Akzent6">
    <w:name w:val="Medium Shading 1 Accent 6"/>
    <w:basedOn w:val="NormaleTabelle"/>
    <w:uiPriority w:val="63"/>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MittlereSchattierung2">
    <w:name w:val="Medium Shading 2"/>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1">
    <w:name w:val="Medium Shading 2 Accent 1"/>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2">
    <w:name w:val="Medium Shading 2 Accent 2"/>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3">
    <w:name w:val="Medium Shading 2 Accent 3"/>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4">
    <w:name w:val="Medium Shading 2 Accent 4"/>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5">
    <w:name w:val="Medium Shading 2 Accent 5"/>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Schattierung2-Akzent6">
    <w:name w:val="Medium Shading 2 Accent 6"/>
    <w:basedOn w:val="NormaleTabelle"/>
    <w:uiPriority w:val="64"/>
    <w:rsid w:val="00CB0664"/>
    <w:pPr>
      <w:spacing w:after="0" w:line="240" w:lineRule="auto"/>
    </w:p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ittlereListe1">
    <w:name w:val="Medium List 1"/>
    <w:basedOn w:val="NormaleTabelle"/>
    <w:uiPriority w:val="65"/>
    <w:rsid w:val="00CB0664"/>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MittlereListe1-Akzent1">
    <w:name w:val="Medium List 1 Accent 1"/>
    <w:basedOn w:val="NormaleTabelle"/>
    <w:uiPriority w:val="65"/>
    <w:rsid w:val="00CB0664"/>
    <w:pPr>
      <w:spacing w:after="0" w:line="240" w:lineRule="auto"/>
    </w:pPr>
    <w:rPr>
      <w:color w:val="000000" w:themeColor="text1"/>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MittlereListe1-Akzent2">
    <w:name w:val="Medium List 1 Accent 2"/>
    <w:basedOn w:val="NormaleTabelle"/>
    <w:uiPriority w:val="65"/>
    <w:rsid w:val="00CB0664"/>
    <w:pPr>
      <w:spacing w:after="0" w:line="240" w:lineRule="auto"/>
    </w:pPr>
    <w:rPr>
      <w:color w:val="000000" w:themeColor="text1"/>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MittlereListe1-Akzent3">
    <w:name w:val="Medium List 1 Accent 3"/>
    <w:basedOn w:val="NormaleTabelle"/>
    <w:uiPriority w:val="65"/>
    <w:rsid w:val="00CB0664"/>
    <w:pPr>
      <w:spacing w:after="0" w:line="240" w:lineRule="auto"/>
    </w:pPr>
    <w:rPr>
      <w:color w:val="000000" w:themeColor="text1"/>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MittlereListe1-Akzent4">
    <w:name w:val="Medium List 1 Accent 4"/>
    <w:basedOn w:val="NormaleTabelle"/>
    <w:uiPriority w:val="65"/>
    <w:rsid w:val="00CB0664"/>
    <w:pPr>
      <w:spacing w:after="0" w:line="240" w:lineRule="auto"/>
    </w:pPr>
    <w:rPr>
      <w:color w:val="000000" w:themeColor="text1"/>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MittlereListe1-Akzent5">
    <w:name w:val="Medium List 1 Accent 5"/>
    <w:basedOn w:val="NormaleTabelle"/>
    <w:uiPriority w:val="65"/>
    <w:rsid w:val="00CB0664"/>
    <w:pPr>
      <w:spacing w:after="0" w:line="240" w:lineRule="auto"/>
    </w:pPr>
    <w:rPr>
      <w:color w:val="000000" w:themeColor="text1"/>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ittlereListe1-Akzent6">
    <w:name w:val="Medium List 1 Accent 6"/>
    <w:basedOn w:val="NormaleTabelle"/>
    <w:uiPriority w:val="65"/>
    <w:rsid w:val="00CB0664"/>
    <w:pPr>
      <w:spacing w:after="0" w:line="240" w:lineRule="auto"/>
    </w:pPr>
    <w:rPr>
      <w:color w:val="000000" w:themeColor="text1"/>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MittlereListe2">
    <w:name w:val="Medium List 2"/>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1">
    <w:name w:val="Medium List 2 Accent 1"/>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2">
    <w:name w:val="Medium List 2 Accent 2"/>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3">
    <w:name w:val="Medium List 2 Accent 3"/>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4">
    <w:name w:val="Medium List 2 Accent 4"/>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5">
    <w:name w:val="Medium List 2 Accent 5"/>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Liste2-Akzent6">
    <w:name w:val="Medium List 2 Accent 6"/>
    <w:basedOn w:val="NormaleTabelle"/>
    <w:uiPriority w:val="66"/>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MittleresRaster1">
    <w:name w:val="Medium Grid 1"/>
    <w:basedOn w:val="NormaleTabelle"/>
    <w:uiPriority w:val="67"/>
    <w:rsid w:val="00CB0664"/>
    <w:pPr>
      <w:spacing w:after="0" w:line="240" w:lineRule="auto"/>
    </w:p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MittleresRaster1-Akzent1">
    <w:name w:val="Medium Grid 1 Accent 1"/>
    <w:basedOn w:val="NormaleTabelle"/>
    <w:uiPriority w:val="67"/>
    <w:rsid w:val="00CB0664"/>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ittleresRaster1-Akzent2">
    <w:name w:val="Medium Grid 1 Accent 2"/>
    <w:basedOn w:val="NormaleTabelle"/>
    <w:uiPriority w:val="67"/>
    <w:rsid w:val="00CB0664"/>
    <w:pPr>
      <w:spacing w:after="0" w:line="240" w:lineRule="auto"/>
    </w:p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MittleresRaster1-Akzent3">
    <w:name w:val="Medium Grid 1 Accent 3"/>
    <w:basedOn w:val="NormaleTabelle"/>
    <w:uiPriority w:val="67"/>
    <w:rsid w:val="00CB0664"/>
    <w:pPr>
      <w:spacing w:after="0" w:line="240" w:lineRule="auto"/>
    </w:p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MittleresRaster1-Akzent4">
    <w:name w:val="Medium Grid 1 Accent 4"/>
    <w:basedOn w:val="NormaleTabelle"/>
    <w:uiPriority w:val="67"/>
    <w:rsid w:val="00CB0664"/>
    <w:pPr>
      <w:spacing w:after="0" w:line="240" w:lineRule="auto"/>
    </w:p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MittleresRaster1-Akzent5">
    <w:name w:val="Medium Grid 1 Accent 5"/>
    <w:basedOn w:val="NormaleTabelle"/>
    <w:uiPriority w:val="67"/>
    <w:rsid w:val="00CB0664"/>
    <w:pPr>
      <w:spacing w:after="0" w:line="240" w:lineRule="auto"/>
    </w:p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MittleresRaster1-Akzent6">
    <w:name w:val="Medium Grid 1 Accent 6"/>
    <w:basedOn w:val="NormaleTabelle"/>
    <w:uiPriority w:val="67"/>
    <w:rsid w:val="00CB0664"/>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MittleresRaster2">
    <w:name w:val="Medium Grid 2"/>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MittleresRaster2-Akzent1">
    <w:name w:val="Medium Grid 2 Accent 1"/>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MittleresRaster2-Akzent2">
    <w:name w:val="Medium Grid 2 Accent 2"/>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MittleresRaster2-Akzent3">
    <w:name w:val="Medium Grid 2 Accent 3"/>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MittleresRaster2-Akzent4">
    <w:name w:val="Medium Grid 2 Accent 4"/>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MittleresRaster2-Akzent5">
    <w:name w:val="Medium Grid 2 Accent 5"/>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ittleresRaster2-Akzent6">
    <w:name w:val="Medium Grid 2 Accent 6"/>
    <w:basedOn w:val="NormaleTabelle"/>
    <w:uiPriority w:val="68"/>
    <w:rsid w:val="00CB0664"/>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MittleresRaster3">
    <w:name w:val="Medium Grid 3"/>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MittleresRaster3-Akzent1">
    <w:name w:val="Medium Grid 3 Accent 1"/>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ittleresRaster3-Akzent2">
    <w:name w:val="Medium Grid 3 Accent 2"/>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MittleresRaster3-Akzent3">
    <w:name w:val="Medium Grid 3 Accent 3"/>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MittleresRaster3-Akzent4">
    <w:name w:val="Medium Grid 3 Accent 4"/>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MittleresRaster3-Akzent5">
    <w:name w:val="Medium Grid 3 Accent 5"/>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MittleresRaster3-Akzent6">
    <w:name w:val="Medium Grid 3 Accent 6"/>
    <w:basedOn w:val="NormaleTabelle"/>
    <w:uiPriority w:val="69"/>
    <w:rsid w:val="00CB0664"/>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DunkleListe">
    <w:name w:val="Dark List"/>
    <w:basedOn w:val="NormaleTabelle"/>
    <w:uiPriority w:val="70"/>
    <w:rsid w:val="00CB0664"/>
    <w:pPr>
      <w:spacing w:after="0" w:line="240" w:lineRule="auto"/>
    </w:pPr>
    <w:rPr>
      <w:color w:val="FFFFFF" w:themeColor="background1"/>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DunkleListe-Akzent1">
    <w:name w:val="Dark List Accent 1"/>
    <w:basedOn w:val="NormaleTabelle"/>
    <w:uiPriority w:val="70"/>
    <w:rsid w:val="00CB0664"/>
    <w:pPr>
      <w:spacing w:after="0" w:line="240" w:lineRule="auto"/>
    </w:pPr>
    <w:rPr>
      <w:color w:val="FFFFFF" w:themeColor="background1"/>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DunkleListe-Akzent2">
    <w:name w:val="Dark List Accent 2"/>
    <w:basedOn w:val="NormaleTabelle"/>
    <w:uiPriority w:val="70"/>
    <w:rsid w:val="00CB0664"/>
    <w:pPr>
      <w:spacing w:after="0" w:line="240" w:lineRule="auto"/>
    </w:pPr>
    <w:rPr>
      <w:color w:val="FFFFFF" w:themeColor="background1"/>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DunkleListe-Akzent3">
    <w:name w:val="Dark List Accent 3"/>
    <w:basedOn w:val="NormaleTabelle"/>
    <w:uiPriority w:val="70"/>
    <w:rsid w:val="00CB0664"/>
    <w:pPr>
      <w:spacing w:after="0" w:line="240" w:lineRule="auto"/>
    </w:pPr>
    <w:rPr>
      <w:color w:val="FFFFFF" w:themeColor="background1"/>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DunkleListe-Akzent4">
    <w:name w:val="Dark List Accent 4"/>
    <w:basedOn w:val="NormaleTabelle"/>
    <w:uiPriority w:val="70"/>
    <w:rsid w:val="00CB0664"/>
    <w:pPr>
      <w:spacing w:after="0" w:line="240" w:lineRule="auto"/>
    </w:pPr>
    <w:rPr>
      <w:color w:val="FFFFFF" w:themeColor="background1"/>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DunkleListe-Akzent5">
    <w:name w:val="Dark List Accent 5"/>
    <w:basedOn w:val="NormaleTabelle"/>
    <w:uiPriority w:val="70"/>
    <w:rsid w:val="00CB0664"/>
    <w:pPr>
      <w:spacing w:after="0" w:line="240" w:lineRule="auto"/>
    </w:pPr>
    <w:rPr>
      <w:color w:val="FFFFFF" w:themeColor="background1"/>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DunkleListe-Akzent6">
    <w:name w:val="Dark List Accent 6"/>
    <w:basedOn w:val="NormaleTabelle"/>
    <w:uiPriority w:val="70"/>
    <w:rsid w:val="00CB0664"/>
    <w:pPr>
      <w:spacing w:after="0" w:line="240" w:lineRule="auto"/>
    </w:pPr>
    <w:rPr>
      <w:color w:val="FFFFFF" w:themeColor="background1"/>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table" w:styleId="FarbigeSchattierung">
    <w:name w:val="Colorful Shading"/>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FarbigeSchattierung-Akzent1">
    <w:name w:val="Colorful Shading Accent 1"/>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FarbigeSchattierung-Akzent2">
    <w:name w:val="Colorful Shading Accent 2"/>
    <w:basedOn w:val="NormaleTabelle"/>
    <w:uiPriority w:val="71"/>
    <w:rsid w:val="00CB0664"/>
    <w:pPr>
      <w:spacing w:after="0" w:line="240" w:lineRule="auto"/>
    </w:pPr>
    <w:rPr>
      <w:color w:val="000000" w:themeColor="text1"/>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FarbigeSchattierung-Akzent3">
    <w:name w:val="Colorful Shading Accent 3"/>
    <w:basedOn w:val="NormaleTabelle"/>
    <w:uiPriority w:val="71"/>
    <w:rsid w:val="00CB0664"/>
    <w:pPr>
      <w:spacing w:after="0" w:line="240" w:lineRule="auto"/>
    </w:pPr>
    <w:rPr>
      <w:color w:val="000000" w:themeColor="text1"/>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FarbigeSchattierung-Akzent4">
    <w:name w:val="Colorful Shading Accent 4"/>
    <w:basedOn w:val="NormaleTabelle"/>
    <w:uiPriority w:val="71"/>
    <w:rsid w:val="00CB0664"/>
    <w:pPr>
      <w:spacing w:after="0" w:line="240" w:lineRule="auto"/>
    </w:pPr>
    <w:rPr>
      <w:color w:val="000000" w:themeColor="text1"/>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FarbigeSchattierung-Akzent5">
    <w:name w:val="Colorful Shading Accent 5"/>
    <w:basedOn w:val="NormaleTabelle"/>
    <w:uiPriority w:val="71"/>
    <w:rsid w:val="00CB0664"/>
    <w:pPr>
      <w:spacing w:after="0" w:line="240" w:lineRule="auto"/>
    </w:pPr>
    <w:rPr>
      <w:color w:val="000000" w:themeColor="text1"/>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FarbigeSchattierung-Akzent6">
    <w:name w:val="Colorful Shading Accent 6"/>
    <w:basedOn w:val="NormaleTabelle"/>
    <w:uiPriority w:val="71"/>
    <w:rsid w:val="00CB0664"/>
    <w:pPr>
      <w:spacing w:after="0" w:line="240" w:lineRule="auto"/>
    </w:pPr>
    <w:rPr>
      <w:color w:val="000000" w:themeColor="text1"/>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table" w:styleId="FarbigeListe">
    <w:name w:val="Colorful List"/>
    <w:basedOn w:val="NormaleTabelle"/>
    <w:uiPriority w:val="72"/>
    <w:rsid w:val="00CB0664"/>
    <w:pPr>
      <w:spacing w:after="0" w:line="240" w:lineRule="auto"/>
    </w:pPr>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FarbigeListe-Akzent1">
    <w:name w:val="Colorful List Accent 1"/>
    <w:basedOn w:val="NormaleTabelle"/>
    <w:uiPriority w:val="72"/>
    <w:rsid w:val="00CB0664"/>
    <w:pPr>
      <w:spacing w:after="0" w:line="240" w:lineRule="auto"/>
    </w:pPr>
    <w:rPr>
      <w:color w:val="000000" w:themeColor="text1"/>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FarbigeListe-Akzent2">
    <w:name w:val="Colorful List Accent 2"/>
    <w:basedOn w:val="NormaleTabelle"/>
    <w:uiPriority w:val="72"/>
    <w:rsid w:val="00CB0664"/>
    <w:pPr>
      <w:spacing w:after="0" w:line="240" w:lineRule="auto"/>
    </w:pPr>
    <w:rPr>
      <w:color w:val="000000" w:themeColor="text1"/>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FarbigeListe-Akzent3">
    <w:name w:val="Colorful List Accent 3"/>
    <w:basedOn w:val="NormaleTabelle"/>
    <w:uiPriority w:val="72"/>
    <w:rsid w:val="00CB0664"/>
    <w:pPr>
      <w:spacing w:after="0" w:line="240" w:lineRule="auto"/>
    </w:pPr>
    <w:rPr>
      <w:color w:val="000000" w:themeColor="text1"/>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FarbigeListe-Akzent4">
    <w:name w:val="Colorful List Accent 4"/>
    <w:basedOn w:val="NormaleTabelle"/>
    <w:uiPriority w:val="72"/>
    <w:rsid w:val="00CB0664"/>
    <w:pPr>
      <w:spacing w:after="0" w:line="240" w:lineRule="auto"/>
    </w:pPr>
    <w:rPr>
      <w:color w:val="000000" w:themeColor="text1"/>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FarbigeListe-Akzent5">
    <w:name w:val="Colorful List Accent 5"/>
    <w:basedOn w:val="NormaleTabelle"/>
    <w:uiPriority w:val="72"/>
    <w:rsid w:val="00CB0664"/>
    <w:pPr>
      <w:spacing w:after="0" w:line="240" w:lineRule="auto"/>
    </w:pPr>
    <w:rPr>
      <w:color w:val="000000" w:themeColor="text1"/>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FarbigeListe-Akzent6">
    <w:name w:val="Colorful List Accent 6"/>
    <w:basedOn w:val="NormaleTabelle"/>
    <w:uiPriority w:val="72"/>
    <w:rsid w:val="00CB0664"/>
    <w:pPr>
      <w:spacing w:after="0" w:line="240" w:lineRule="auto"/>
    </w:pPr>
    <w:rPr>
      <w:color w:val="000000" w:themeColor="text1"/>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table" w:styleId="FarbigesRaster">
    <w:name w:val="Colorful Grid"/>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FarbigesRaster-Akzent1">
    <w:name w:val="Colorful Grid Accent 1"/>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FarbigesRaster-Akzent2">
    <w:name w:val="Colorful Grid Accent 2"/>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FarbigesRaster-Akzent3">
    <w:name w:val="Colorful Grid Accent 3"/>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FarbigesRaster-Akzent4">
    <w:name w:val="Colorful Grid Accent 4"/>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FarbigesRaster-Akzent5">
    <w:name w:val="Colorful Grid Accent 5"/>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FarbigesRaster-Akzent6">
    <w:name w:val="Colorful Grid Accent 6"/>
    <w:basedOn w:val="NormaleTabelle"/>
    <w:uiPriority w:val="73"/>
    <w:rsid w:val="00CB066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character" w:styleId="Kommentarzeichen">
    <w:name w:val="annotation reference"/>
    <w:basedOn w:val="Absatz-Standardschriftart"/>
    <w:uiPriority w:val="99"/>
    <w:semiHidden/>
    <w:unhideWhenUsed/>
    <w:rsid w:val="003120C2"/>
    <w:rPr>
      <w:sz w:val="16"/>
      <w:szCs w:val="16"/>
    </w:rPr>
  </w:style>
  <w:style w:type="paragraph" w:styleId="Kommentartext">
    <w:name w:val="annotation text"/>
    <w:basedOn w:val="Standard"/>
    <w:link w:val="KommentartextZchn"/>
    <w:uiPriority w:val="99"/>
    <w:unhideWhenUsed/>
    <w:rsid w:val="003120C2"/>
    <w:pPr>
      <w:spacing w:line="240" w:lineRule="auto"/>
    </w:pPr>
    <w:rPr>
      <w:sz w:val="20"/>
      <w:szCs w:val="20"/>
    </w:rPr>
  </w:style>
  <w:style w:type="character" w:customStyle="1" w:styleId="KommentartextZchn">
    <w:name w:val="Kommentartext Zchn"/>
    <w:basedOn w:val="Absatz-Standardschriftart"/>
    <w:link w:val="Kommentartext"/>
    <w:uiPriority w:val="99"/>
    <w:rsid w:val="003120C2"/>
    <w:rPr>
      <w:rFonts w:ascii="Calibri" w:hAnsi="Calibri"/>
      <w:sz w:val="20"/>
      <w:szCs w:val="20"/>
    </w:rPr>
  </w:style>
  <w:style w:type="paragraph" w:styleId="Kommentarthema">
    <w:name w:val="annotation subject"/>
    <w:basedOn w:val="Kommentartext"/>
    <w:next w:val="Kommentartext"/>
    <w:link w:val="KommentarthemaZchn"/>
    <w:uiPriority w:val="99"/>
    <w:semiHidden/>
    <w:unhideWhenUsed/>
    <w:rsid w:val="003120C2"/>
    <w:rPr>
      <w:b/>
      <w:bCs/>
    </w:rPr>
  </w:style>
  <w:style w:type="character" w:customStyle="1" w:styleId="KommentarthemaZchn">
    <w:name w:val="Kommentarthema Zchn"/>
    <w:basedOn w:val="KommentartextZchn"/>
    <w:link w:val="Kommentarthema"/>
    <w:uiPriority w:val="99"/>
    <w:semiHidden/>
    <w:rsid w:val="003120C2"/>
    <w:rPr>
      <w:rFonts w:ascii="Calibri" w:hAnsi="Calibri"/>
      <w:b/>
      <w:bCs/>
      <w:sz w:val="20"/>
      <w:szCs w:val="20"/>
    </w:rPr>
  </w:style>
  <w:style w:type="paragraph" w:styleId="Sprechblasentext">
    <w:name w:val="Balloon Text"/>
    <w:basedOn w:val="Standard"/>
    <w:link w:val="SprechblasentextZchn"/>
    <w:uiPriority w:val="99"/>
    <w:semiHidden/>
    <w:unhideWhenUsed/>
    <w:rsid w:val="003120C2"/>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3120C2"/>
    <w:rPr>
      <w:rFonts w:ascii="Segoe UI" w:hAnsi="Segoe UI" w:cs="Segoe UI"/>
      <w:sz w:val="18"/>
      <w:szCs w:val="18"/>
    </w:rPr>
  </w:style>
  <w:style w:type="paragraph" w:styleId="berarbeitung">
    <w:name w:val="Revision"/>
    <w:hidden/>
    <w:uiPriority w:val="99"/>
    <w:semiHidden/>
    <w:rsid w:val="0056587E"/>
    <w:pPr>
      <w:spacing w:after="0" w:line="240" w:lineRule="auto"/>
    </w:pPr>
    <w:rPr>
      <w:rFonts w:ascii="Calibri" w:hAnsi="Calibri"/>
    </w:rPr>
  </w:style>
  <w:style w:type="character" w:styleId="Platzhaltertext">
    <w:name w:val="Placeholder Text"/>
    <w:basedOn w:val="Absatz-Standardschriftart"/>
    <w:uiPriority w:val="99"/>
    <w:semiHidden/>
    <w:rsid w:val="005547FA"/>
    <w:rPr>
      <w:color w:val="66666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7809E2-2AAB-40B6-9090-6F81680705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1654</Words>
  <Characters>10423</Characters>
  <Application>Microsoft Office Word</Application>
  <DocSecurity>0</DocSecurity>
  <Lines>86</Lines>
  <Paragraphs>24</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Pressemeldung AG Neue Therapien – Donanemab und Cochrane-Review</vt:lpstr>
      <vt:lpstr/>
    </vt:vector>
  </TitlesOfParts>
  <Manager/>
  <Company/>
  <LinksUpToDate>false</LinksUpToDate>
  <CharactersWithSpaces>12053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Press Release Working Group New Therapies – Donanemab and Cochrane Review</dc:title>
  <dc:subject>Website text / Word version</dc:subject>
  <dc:creator>M365 Copilot</dc:creator>
  <cp:keywords/>
  <dc:description>Contains finalized version with speaker quotes (suggested wording) and list of sources.</dc:description>
  <cp:lastModifiedBy>Michels, Jennifer Monika</cp:lastModifiedBy>
  <cp:revision>2</cp:revision>
  <dcterms:created xsi:type="dcterms:W3CDTF">2026-04-22T07:28:00Z</dcterms:created>
  <dcterms:modified xsi:type="dcterms:W3CDTF">2026-04-22T07:28:00Z</dcterms:modified>
  <cp:category/>
</cp:coreProperties>
</file>