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2B9260C5" w14:textId="77777777" w:rsidR="001D1E25" w:rsidRPr="003B652E" w:rsidRDefault="00000000">
      <w:pPr>
        <w:jc w:val="center"/>
        <w:rPr>
          <w:rFonts w:cs="Arial"/>
          <w:lang w:val="de-DE"/>
        </w:rPr>
      </w:pPr>
      <w:r w:rsidRPr="003B652E">
        <w:rPr>
          <w:rFonts w:cs="Arial"/>
          <w:b/>
          <w:sz w:val="32"/>
          <w:lang w:val="de-DE"/>
        </w:rPr>
        <w:t>Pressemeldung</w:t>
      </w:r>
    </w:p>
    <w:p w14:paraId="29972B8D" w14:textId="77777777" w:rsidR="001D1E25" w:rsidRPr="003B652E" w:rsidRDefault="001D1E25">
      <w:pPr>
        <w:rPr>
          <w:rFonts w:cs="Arial"/>
          <w:lang w:val="de-DE"/>
        </w:rPr>
      </w:pPr>
    </w:p>
    <w:p w14:paraId="1C6CD813" w14:textId="77777777" w:rsidR="003B652E" w:rsidRPr="003B652E" w:rsidRDefault="00000000">
      <w:pPr>
        <w:jc w:val="center"/>
        <w:rPr>
          <w:rFonts w:cs="Arial"/>
          <w:b/>
          <w:sz w:val="22"/>
          <w:lang w:val="de-DE"/>
        </w:rPr>
      </w:pPr>
      <w:r w:rsidRPr="003B652E">
        <w:rPr>
          <w:rFonts w:cs="Arial"/>
          <w:b/>
          <w:sz w:val="22"/>
          <w:lang w:val="de-DE"/>
        </w:rPr>
        <w:t>Arbeitsgruppe Diagnostische Schnittstellen</w:t>
      </w:r>
    </w:p>
    <w:p w14:paraId="276E8CBA" w14:textId="03D1A328" w:rsidR="001D1E25" w:rsidRPr="003B652E" w:rsidRDefault="00000000">
      <w:pPr>
        <w:jc w:val="center"/>
        <w:rPr>
          <w:rFonts w:cs="Arial"/>
          <w:lang w:val="de-DE"/>
        </w:rPr>
      </w:pPr>
      <w:r w:rsidRPr="003B652E">
        <w:rPr>
          <w:rFonts w:cs="Arial"/>
          <w:b/>
          <w:sz w:val="22"/>
          <w:lang w:val="de-DE"/>
        </w:rPr>
        <w:t>des Deutschen Netzwerks Gedächtnisambulanzen (DNG)</w:t>
      </w:r>
    </w:p>
    <w:p w14:paraId="57198081" w14:textId="77777777" w:rsidR="001D1E25" w:rsidRPr="003B652E" w:rsidRDefault="001D1E25">
      <w:pPr>
        <w:rPr>
          <w:rFonts w:cs="Arial"/>
          <w:lang w:val="de-DE"/>
        </w:rPr>
      </w:pPr>
    </w:p>
    <w:p w14:paraId="0863B2E7" w14:textId="240769B8" w:rsidR="001D1E25" w:rsidRPr="003B652E" w:rsidRDefault="00000000">
      <w:pPr>
        <w:jc w:val="center"/>
        <w:rPr>
          <w:rFonts w:cs="Arial"/>
          <w:lang w:val="de-DE"/>
        </w:rPr>
      </w:pPr>
      <w:r w:rsidRPr="003B652E">
        <w:rPr>
          <w:rFonts w:cs="Arial"/>
          <w:b/>
          <w:sz w:val="28"/>
          <w:lang w:val="de-DE"/>
        </w:rPr>
        <w:t>Alzheimer-Bluttests: Wichtiger Fortschritt –</w:t>
      </w:r>
      <w:r w:rsidR="00981926">
        <w:rPr>
          <w:rFonts w:cs="Arial"/>
          <w:b/>
          <w:sz w:val="28"/>
          <w:lang w:val="de-DE"/>
        </w:rPr>
        <w:t xml:space="preserve"> aber noch kein Ersatz für etablierte Biomarker und kein Screeningtest in der breiten Versorgung</w:t>
      </w:r>
    </w:p>
    <w:p w14:paraId="73D2F9D1" w14:textId="47AA672F" w:rsidR="001D1E25" w:rsidRPr="003B652E" w:rsidRDefault="00000000">
      <w:pPr>
        <w:jc w:val="center"/>
        <w:rPr>
          <w:rFonts w:cs="Arial"/>
          <w:lang w:val="de-DE"/>
        </w:rPr>
      </w:pPr>
      <w:r w:rsidRPr="003B652E">
        <w:rPr>
          <w:rFonts w:cs="Arial"/>
          <w:i/>
          <w:lang w:val="de-DE"/>
        </w:rPr>
        <w:t xml:space="preserve">Neue CE-gekennzeichnete Bluttests auf phosphoryliertes Tau erweitern die Möglichkeiten der Alzheimer-Diagnostik. Das DNG sieht darin einen wichtigen Fortschritt – betont aber, dass </w:t>
      </w:r>
      <w:r w:rsidR="00A9187E">
        <w:rPr>
          <w:rFonts w:cs="Arial"/>
          <w:i/>
          <w:lang w:val="de-DE"/>
        </w:rPr>
        <w:t>Blutb</w:t>
      </w:r>
      <w:r w:rsidRPr="003B652E">
        <w:rPr>
          <w:rFonts w:cs="Arial"/>
          <w:i/>
          <w:lang w:val="de-DE"/>
        </w:rPr>
        <w:t>iomarker derzeit gezielt, qualitätsgesichert und eingebettet in spezialisierte diagnostische Strukturen eingesetzt werden sollten.</w:t>
      </w:r>
    </w:p>
    <w:p w14:paraId="7FC6C613" w14:textId="72919E88" w:rsidR="001D1E25" w:rsidRPr="003B652E" w:rsidRDefault="00000000">
      <w:pPr>
        <w:jc w:val="right"/>
        <w:rPr>
          <w:rFonts w:cs="Arial"/>
          <w:lang w:val="de-DE"/>
        </w:rPr>
      </w:pPr>
      <w:r w:rsidRPr="003B652E">
        <w:rPr>
          <w:rFonts w:cs="Arial"/>
          <w:lang w:val="de-DE"/>
        </w:rPr>
        <w:t xml:space="preserve">Stand: </w:t>
      </w:r>
      <w:r w:rsidR="00981926">
        <w:rPr>
          <w:rFonts w:cs="Arial"/>
          <w:lang w:val="de-DE"/>
        </w:rPr>
        <w:t>23</w:t>
      </w:r>
      <w:r w:rsidRPr="003B652E">
        <w:rPr>
          <w:rFonts w:cs="Arial"/>
          <w:lang w:val="de-DE"/>
        </w:rPr>
        <w:t xml:space="preserve">. </w:t>
      </w:r>
      <w:r w:rsidR="00981926">
        <w:rPr>
          <w:rFonts w:cs="Arial"/>
          <w:lang w:val="de-DE"/>
        </w:rPr>
        <w:t>Juni</w:t>
      </w:r>
      <w:r w:rsidRPr="003B652E">
        <w:rPr>
          <w:rFonts w:cs="Arial"/>
          <w:lang w:val="de-DE"/>
        </w:rPr>
        <w:t xml:space="preserve"> 2026</w:t>
      </w:r>
    </w:p>
    <w:p w14:paraId="306CD997" w14:textId="371913B2" w:rsidR="000E0CA8" w:rsidRPr="00B5132F" w:rsidRDefault="00000000" w:rsidP="00B5132F">
      <w:pPr>
        <w:jc w:val="both"/>
        <w:rPr>
          <w:rFonts w:cs="Arial"/>
          <w:lang w:val="de-DE"/>
        </w:rPr>
      </w:pPr>
      <w:r w:rsidRPr="003B652E">
        <w:rPr>
          <w:rFonts w:cs="Arial"/>
          <w:lang w:val="de-DE"/>
        </w:rPr>
        <w:t xml:space="preserve">Die Arbeitsgruppe Diagnostische Schnittstellen des Deutschen Netzwerks Gedächtnisambulanzen (DNG) nimmt die jüngsten CE-Kennzeichnungen </w:t>
      </w:r>
      <w:r w:rsidR="003B652E" w:rsidRPr="003B652E">
        <w:rPr>
          <w:rFonts w:cs="Arial"/>
          <w:lang w:val="de-DE"/>
        </w:rPr>
        <w:t>von</w:t>
      </w:r>
      <w:r w:rsidRPr="003B652E">
        <w:rPr>
          <w:rFonts w:cs="Arial"/>
          <w:lang w:val="de-DE"/>
        </w:rPr>
        <w:t xml:space="preserve"> B</w:t>
      </w:r>
      <w:r w:rsidR="003B652E" w:rsidRPr="003B652E">
        <w:rPr>
          <w:rFonts w:cs="Arial"/>
          <w:lang w:val="de-DE"/>
        </w:rPr>
        <w:t>lutb</w:t>
      </w:r>
      <w:r w:rsidRPr="003B652E">
        <w:rPr>
          <w:rFonts w:cs="Arial"/>
          <w:lang w:val="de-DE"/>
        </w:rPr>
        <w:t>iomarker</w:t>
      </w:r>
      <w:r w:rsidR="003B652E" w:rsidRPr="003B652E">
        <w:rPr>
          <w:rFonts w:cs="Arial"/>
          <w:lang w:val="de-DE"/>
        </w:rPr>
        <w:t>n</w:t>
      </w:r>
      <w:r w:rsidRPr="003B652E">
        <w:rPr>
          <w:rFonts w:cs="Arial"/>
          <w:lang w:val="de-DE"/>
        </w:rPr>
        <w:t xml:space="preserve"> zur Detektion der Alzheimer-Pathologie mit großem Interesse zur Kenntnis. </w:t>
      </w:r>
      <w:r w:rsidR="00B5132F" w:rsidRPr="00B5132F">
        <w:rPr>
          <w:rFonts w:cs="Arial"/>
          <w:lang w:val="de-DE"/>
        </w:rPr>
        <w:t xml:space="preserve">Die Verfügbarkeit </w:t>
      </w:r>
      <w:r w:rsidR="00B5132F">
        <w:rPr>
          <w:rFonts w:cs="Arial"/>
          <w:lang w:val="de-DE"/>
        </w:rPr>
        <w:t>von Blutb</w:t>
      </w:r>
      <w:r w:rsidR="00B5132F" w:rsidRPr="00B5132F">
        <w:rPr>
          <w:rFonts w:cs="Arial"/>
          <w:lang w:val="de-DE"/>
        </w:rPr>
        <w:t>iomarker</w:t>
      </w:r>
      <w:r w:rsidR="00B5132F">
        <w:rPr>
          <w:rFonts w:cs="Arial"/>
          <w:lang w:val="de-DE"/>
        </w:rPr>
        <w:t>n</w:t>
      </w:r>
      <w:r w:rsidR="00B5132F" w:rsidRPr="00B5132F">
        <w:rPr>
          <w:rFonts w:cs="Arial"/>
          <w:lang w:val="de-DE"/>
        </w:rPr>
        <w:t xml:space="preserve"> </w:t>
      </w:r>
      <w:r w:rsidR="00B5132F">
        <w:rPr>
          <w:rFonts w:cs="Arial"/>
          <w:lang w:val="de-DE"/>
        </w:rPr>
        <w:t>hat das Potenzial,</w:t>
      </w:r>
      <w:r w:rsidR="00B5132F" w:rsidRPr="00B5132F">
        <w:rPr>
          <w:rFonts w:cs="Arial"/>
          <w:lang w:val="de-DE"/>
        </w:rPr>
        <w:t xml:space="preserve"> den diagnostischen Pfad bei der Alzheimer-Erkrankung </w:t>
      </w:r>
      <w:r w:rsidR="00B5132F">
        <w:rPr>
          <w:rFonts w:cs="Arial"/>
          <w:lang w:val="de-DE"/>
        </w:rPr>
        <w:t xml:space="preserve">merklich zu </w:t>
      </w:r>
      <w:r w:rsidR="00B5132F" w:rsidRPr="00B5132F">
        <w:rPr>
          <w:rFonts w:cs="Arial"/>
          <w:lang w:val="de-DE"/>
        </w:rPr>
        <w:t xml:space="preserve">verändern. </w:t>
      </w:r>
      <w:r w:rsidR="00B5132F">
        <w:rPr>
          <w:rFonts w:cs="Arial"/>
          <w:lang w:val="de-DE"/>
        </w:rPr>
        <w:t>Blutb</w:t>
      </w:r>
      <w:r w:rsidR="00B5132F" w:rsidRPr="00B5132F">
        <w:rPr>
          <w:rFonts w:cs="Arial"/>
          <w:lang w:val="de-DE"/>
        </w:rPr>
        <w:t>iomarker bieten eine potenziell minimal-invasive Ergänzung zu</w:t>
      </w:r>
      <w:r w:rsidR="00B5132F">
        <w:rPr>
          <w:rFonts w:cs="Arial"/>
          <w:lang w:val="de-DE"/>
        </w:rPr>
        <w:t xml:space="preserve">r </w:t>
      </w:r>
      <w:r w:rsidR="00B5132F" w:rsidRPr="00B5132F">
        <w:rPr>
          <w:rFonts w:cs="Arial"/>
          <w:lang w:val="de-DE"/>
        </w:rPr>
        <w:t xml:space="preserve">etablierten Liquordiagnostik und zur Positronenemissionstomographie (PET) und gewinnen zunehmend an klinischer Aufmerksamkeit. Erste kommerziell verfügbare Tests werden mittlerweile von Laborunternehmen angeboten, was </w:t>
      </w:r>
      <w:r w:rsidR="000E0CA8">
        <w:rPr>
          <w:rFonts w:cs="Arial"/>
          <w:lang w:val="de-DE"/>
        </w:rPr>
        <w:t>Ärztinnen und Ärzte</w:t>
      </w:r>
      <w:r w:rsidR="00B5132F" w:rsidRPr="00B5132F">
        <w:rPr>
          <w:rFonts w:cs="Arial"/>
          <w:lang w:val="de-DE"/>
        </w:rPr>
        <w:t xml:space="preserve"> vor neue Fragen</w:t>
      </w:r>
      <w:r w:rsidR="000E0CA8">
        <w:rPr>
          <w:rFonts w:cs="Arial"/>
          <w:lang w:val="de-DE"/>
        </w:rPr>
        <w:t xml:space="preserve"> </w:t>
      </w:r>
      <w:r w:rsidR="00B5132F" w:rsidRPr="00B5132F">
        <w:rPr>
          <w:rFonts w:cs="Arial"/>
          <w:lang w:val="de-DE"/>
        </w:rPr>
        <w:t>zur korrekten Einordnung der Befunde stellt.</w:t>
      </w:r>
      <w:r w:rsidR="00B5132F">
        <w:rPr>
          <w:rFonts w:cs="Arial"/>
          <w:lang w:val="de-DE"/>
        </w:rPr>
        <w:t xml:space="preserve"> </w:t>
      </w:r>
      <w:r w:rsidR="00B5132F" w:rsidRPr="003B652E">
        <w:rPr>
          <w:rFonts w:cs="Arial"/>
          <w:lang w:val="de-DE"/>
        </w:rPr>
        <w:t xml:space="preserve">Neben dem bereits verfügbaren Plasma-pTau181-Test von Roche sind aktuell neue pTau217-Assays von Roche und </w:t>
      </w:r>
      <w:proofErr w:type="spellStart"/>
      <w:r w:rsidR="00B5132F" w:rsidRPr="003B652E">
        <w:rPr>
          <w:rFonts w:cs="Arial"/>
          <w:lang w:val="de-DE"/>
        </w:rPr>
        <w:t>Fujirebio</w:t>
      </w:r>
      <w:proofErr w:type="spellEnd"/>
      <w:r w:rsidR="00B5132F" w:rsidRPr="003B652E">
        <w:rPr>
          <w:rFonts w:cs="Arial"/>
          <w:lang w:val="de-DE"/>
        </w:rPr>
        <w:t xml:space="preserve"> hinzugekommen. Damit erreicht die Entwicklung blutbasierter Alzheimer-Diagnostik eine neue Stufe der klinischen Umsetzbarkeit.</w:t>
      </w:r>
    </w:p>
    <w:p w14:paraId="6B50F64B" w14:textId="0799F6AC" w:rsidR="00F200D9" w:rsidRPr="003B652E" w:rsidRDefault="00F200D9" w:rsidP="00F200D9">
      <w:pPr>
        <w:pStyle w:val="berschrift2"/>
        <w:jc w:val="both"/>
        <w:rPr>
          <w:rFonts w:ascii="Arial" w:hAnsi="Arial" w:cs="Arial"/>
          <w:color w:val="auto"/>
          <w:lang w:val="de-DE"/>
        </w:rPr>
      </w:pPr>
      <w:r>
        <w:rPr>
          <w:rFonts w:ascii="Arial" w:hAnsi="Arial" w:cs="Arial"/>
          <w:color w:val="auto"/>
          <w:lang w:val="de-DE"/>
        </w:rPr>
        <w:t>1</w:t>
      </w:r>
      <w:r w:rsidRPr="003B652E">
        <w:rPr>
          <w:rFonts w:ascii="Arial" w:hAnsi="Arial" w:cs="Arial"/>
          <w:color w:val="auto"/>
          <w:lang w:val="de-DE"/>
        </w:rPr>
        <w:t xml:space="preserve">. </w:t>
      </w:r>
      <w:r>
        <w:rPr>
          <w:rFonts w:ascii="Arial" w:hAnsi="Arial" w:cs="Arial"/>
          <w:color w:val="auto"/>
          <w:lang w:val="de-DE"/>
        </w:rPr>
        <w:t>Europäischer Kontext</w:t>
      </w:r>
    </w:p>
    <w:p w14:paraId="567DAC8A" w14:textId="6F4549D7" w:rsidR="00F200D9" w:rsidRPr="003B652E" w:rsidRDefault="00F200D9" w:rsidP="003B652E">
      <w:pPr>
        <w:jc w:val="both"/>
        <w:rPr>
          <w:rFonts w:cs="Arial"/>
          <w:lang w:val="de-DE"/>
        </w:rPr>
      </w:pPr>
      <w:r w:rsidRPr="00F200D9">
        <w:rPr>
          <w:rFonts w:cs="Arial"/>
          <w:lang w:val="de-DE"/>
        </w:rPr>
        <w:t>Ein gemeinsames Positionspapier der Studiengruppen für Biomarker in der Neurologie der Italienischen Gesellschaft für Neurologie (SIN), der Italienischen Gesellschaft für Klinische Biochemie und Labormedizin (</w:t>
      </w:r>
      <w:proofErr w:type="spellStart"/>
      <w:r w:rsidRPr="00F200D9">
        <w:rPr>
          <w:rFonts w:cs="Arial"/>
          <w:lang w:val="de-DE"/>
        </w:rPr>
        <w:t>SIBioC</w:t>
      </w:r>
      <w:proofErr w:type="spellEnd"/>
      <w:r w:rsidRPr="00F200D9">
        <w:rPr>
          <w:rFonts w:cs="Arial"/>
          <w:lang w:val="de-DE"/>
        </w:rPr>
        <w:t>) sowie der mit der SIN affiliierten</w:t>
      </w:r>
      <w:r>
        <w:rPr>
          <w:rFonts w:cs="Arial"/>
          <w:lang w:val="de-DE"/>
        </w:rPr>
        <w:t xml:space="preserve"> </w:t>
      </w:r>
      <w:r w:rsidRPr="00F200D9">
        <w:rPr>
          <w:rFonts w:cs="Arial"/>
          <w:lang w:val="de-DE"/>
        </w:rPr>
        <w:t>Demenzfachgesellschaft (</w:t>
      </w:r>
      <w:proofErr w:type="spellStart"/>
      <w:r w:rsidRPr="00F200D9">
        <w:rPr>
          <w:rFonts w:cs="Arial"/>
          <w:lang w:val="de-DE"/>
        </w:rPr>
        <w:t>SINdem</w:t>
      </w:r>
      <w:proofErr w:type="spellEnd"/>
      <w:r w:rsidRPr="00F200D9">
        <w:rPr>
          <w:rFonts w:cs="Arial"/>
          <w:lang w:val="de-DE"/>
        </w:rPr>
        <w:t xml:space="preserve">) legt einen einheitlichen Rahmen für die Integration von Plasma-Biomarkern in </w:t>
      </w:r>
      <w:r>
        <w:rPr>
          <w:rFonts w:cs="Arial"/>
          <w:lang w:val="de-DE"/>
        </w:rPr>
        <w:t>Alzheimer</w:t>
      </w:r>
      <w:r w:rsidRPr="00F200D9">
        <w:rPr>
          <w:rFonts w:cs="Arial"/>
          <w:lang w:val="de-DE"/>
        </w:rPr>
        <w:t>-Diagnosepfade</w:t>
      </w:r>
      <w:r>
        <w:rPr>
          <w:rFonts w:cs="Arial"/>
          <w:lang w:val="de-DE"/>
        </w:rPr>
        <w:t>n</w:t>
      </w:r>
      <w:r w:rsidRPr="00F200D9">
        <w:rPr>
          <w:rFonts w:cs="Arial"/>
          <w:lang w:val="de-DE"/>
        </w:rPr>
        <w:t xml:space="preserve"> fest. Unter den verfügbaren Plasma-Biomarkern weisen p-tau217, allein oder als Ratio mit Aβ42, die höchste diagnostische Genauigkeit auf, die an die Leistung von Liquordiagnostik und PET heranreicht. Das Dokument enthält detaillierte Empfehlungen zu präanalytischer Handhabung, Testauswahl und Befundberichterstattung sowie Hinweise auf relevante</w:t>
      </w:r>
      <w:r>
        <w:rPr>
          <w:rFonts w:cs="Arial"/>
          <w:lang w:val="de-DE"/>
        </w:rPr>
        <w:t xml:space="preserve"> </w:t>
      </w:r>
      <w:r w:rsidRPr="00F200D9">
        <w:rPr>
          <w:rFonts w:cs="Arial"/>
          <w:lang w:val="de-DE"/>
        </w:rPr>
        <w:t>Einflussfaktoren</w:t>
      </w:r>
      <w:r>
        <w:rPr>
          <w:rFonts w:cs="Arial"/>
          <w:lang w:val="de-DE"/>
        </w:rPr>
        <w:t xml:space="preserve"> wie die zeitliche Nähe zur Nahrungsaufnahme (die bei Liquorbiomarkern keine Rolle spielt)</w:t>
      </w:r>
      <w:r w:rsidRPr="00F200D9">
        <w:rPr>
          <w:rFonts w:cs="Arial"/>
          <w:lang w:val="de-DE"/>
        </w:rPr>
        <w:t>.</w:t>
      </w:r>
      <w:r>
        <w:rPr>
          <w:rFonts w:cs="Arial"/>
          <w:lang w:val="de-DE"/>
        </w:rPr>
        <w:t xml:space="preserve"> </w:t>
      </w:r>
      <w:r w:rsidRPr="00F200D9">
        <w:rPr>
          <w:rFonts w:cs="Arial"/>
          <w:lang w:val="de-DE"/>
        </w:rPr>
        <w:t>Der derzeitige Konsens sieht vor, Plasma-Biomarker bei Personen mit objektivierbaren kognitiven Einschränkungen</w:t>
      </w:r>
      <w:r>
        <w:rPr>
          <w:rFonts w:cs="Arial"/>
          <w:lang w:val="de-DE"/>
        </w:rPr>
        <w:t xml:space="preserve"> (d.h. </w:t>
      </w:r>
      <w:r w:rsidRPr="00F200D9">
        <w:rPr>
          <w:rFonts w:cs="Arial"/>
          <w:lang w:val="de-DE"/>
        </w:rPr>
        <w:t>leichter kognitiver Störung oder Demenz</w:t>
      </w:r>
      <w:r>
        <w:rPr>
          <w:rFonts w:cs="Arial"/>
          <w:lang w:val="de-DE"/>
        </w:rPr>
        <w:t xml:space="preserve">) </w:t>
      </w:r>
      <w:r w:rsidRPr="00F200D9">
        <w:rPr>
          <w:rFonts w:cs="Arial"/>
          <w:lang w:val="de-DE"/>
        </w:rPr>
        <w:t xml:space="preserve">einzusetzen, wenn die </w:t>
      </w:r>
      <w:r>
        <w:rPr>
          <w:rFonts w:cs="Arial"/>
          <w:lang w:val="de-DE"/>
        </w:rPr>
        <w:t>Alzheimer-Krankheit</w:t>
      </w:r>
      <w:r w:rsidRPr="00F200D9">
        <w:rPr>
          <w:rFonts w:cs="Arial"/>
          <w:lang w:val="de-DE"/>
        </w:rPr>
        <w:t xml:space="preserve"> zu den möglichen Ursachen zählt. Für Personen mit subjektiven</w:t>
      </w:r>
      <w:r>
        <w:rPr>
          <w:rFonts w:cs="Arial"/>
          <w:lang w:val="de-DE"/>
        </w:rPr>
        <w:t xml:space="preserve"> </w:t>
      </w:r>
      <w:r w:rsidRPr="00F200D9">
        <w:rPr>
          <w:rFonts w:cs="Arial"/>
          <w:lang w:val="de-DE"/>
        </w:rPr>
        <w:t>kognitiven Beschwerden oder kognitiv unauf</w:t>
      </w:r>
      <w:r w:rsidR="00A9187E">
        <w:rPr>
          <w:rFonts w:cs="Arial"/>
          <w:lang w:val="de-DE"/>
        </w:rPr>
        <w:t>f</w:t>
      </w:r>
      <w:r w:rsidRPr="00F200D9">
        <w:rPr>
          <w:rFonts w:cs="Arial"/>
          <w:lang w:val="de-DE"/>
        </w:rPr>
        <w:t>ällige Personen ist die klinische Indikation hingegen umstritten.</w:t>
      </w:r>
    </w:p>
    <w:p w14:paraId="7C10E294" w14:textId="788155A9" w:rsidR="001D1E25" w:rsidRPr="003B652E" w:rsidRDefault="00000000" w:rsidP="003B652E">
      <w:pPr>
        <w:pStyle w:val="berschrift2"/>
        <w:jc w:val="both"/>
        <w:rPr>
          <w:rFonts w:ascii="Arial" w:hAnsi="Arial" w:cs="Arial"/>
          <w:color w:val="auto"/>
          <w:lang w:val="de-DE"/>
        </w:rPr>
      </w:pPr>
      <w:r w:rsidRPr="003B652E">
        <w:rPr>
          <w:rFonts w:ascii="Arial" w:hAnsi="Arial" w:cs="Arial"/>
          <w:color w:val="auto"/>
          <w:lang w:val="de-DE"/>
        </w:rPr>
        <w:t xml:space="preserve">2. </w:t>
      </w:r>
      <w:r w:rsidR="00F200D9">
        <w:rPr>
          <w:rFonts w:ascii="Arial" w:hAnsi="Arial" w:cs="Arial"/>
          <w:color w:val="auto"/>
          <w:lang w:val="de-DE"/>
        </w:rPr>
        <w:t>Situation in Deutschland</w:t>
      </w:r>
    </w:p>
    <w:p w14:paraId="71D33B53" w14:textId="59CBD62B" w:rsidR="00F200D9" w:rsidRDefault="00F200D9" w:rsidP="00F200D9">
      <w:pPr>
        <w:jc w:val="both"/>
        <w:rPr>
          <w:rFonts w:cs="Arial"/>
          <w:lang w:val="de-DE"/>
        </w:rPr>
      </w:pPr>
      <w:r w:rsidRPr="00F200D9">
        <w:rPr>
          <w:rFonts w:cs="Arial"/>
          <w:lang w:val="de-DE"/>
        </w:rPr>
        <w:t>Für Deutschland existiert</w:t>
      </w:r>
      <w:r>
        <w:rPr>
          <w:rFonts w:cs="Arial"/>
          <w:lang w:val="de-DE"/>
        </w:rPr>
        <w:t>e</w:t>
      </w:r>
      <w:r w:rsidRPr="00F200D9">
        <w:rPr>
          <w:rFonts w:cs="Arial"/>
          <w:lang w:val="de-DE"/>
        </w:rPr>
        <w:t xml:space="preserve"> bislang kein vergleichbares eigenständiges </w:t>
      </w:r>
      <w:proofErr w:type="spellStart"/>
      <w:r w:rsidRPr="00F200D9">
        <w:rPr>
          <w:rFonts w:cs="Arial"/>
          <w:lang w:val="de-DE"/>
        </w:rPr>
        <w:t>Konsensusdokument</w:t>
      </w:r>
      <w:proofErr w:type="spellEnd"/>
      <w:r w:rsidRPr="00F200D9">
        <w:rPr>
          <w:rFonts w:cs="Arial"/>
          <w:lang w:val="de-DE"/>
        </w:rPr>
        <w:t xml:space="preserve"> zur klinischen Anwendung </w:t>
      </w:r>
      <w:r>
        <w:rPr>
          <w:rFonts w:cs="Arial"/>
          <w:lang w:val="de-DE"/>
        </w:rPr>
        <w:t>von</w:t>
      </w:r>
      <w:r w:rsidRPr="00F200D9">
        <w:rPr>
          <w:rFonts w:cs="Arial"/>
          <w:lang w:val="de-DE"/>
        </w:rPr>
        <w:t xml:space="preserve"> </w:t>
      </w:r>
      <w:r>
        <w:rPr>
          <w:rFonts w:cs="Arial"/>
          <w:lang w:val="de-DE"/>
        </w:rPr>
        <w:t>Blutb</w:t>
      </w:r>
      <w:r w:rsidRPr="00F200D9">
        <w:rPr>
          <w:rFonts w:cs="Arial"/>
          <w:lang w:val="de-DE"/>
        </w:rPr>
        <w:t>iomarker</w:t>
      </w:r>
      <w:r>
        <w:rPr>
          <w:rFonts w:cs="Arial"/>
          <w:lang w:val="de-DE"/>
        </w:rPr>
        <w:t>n</w:t>
      </w:r>
      <w:r w:rsidRPr="00F200D9">
        <w:rPr>
          <w:rFonts w:cs="Arial"/>
          <w:lang w:val="de-DE"/>
        </w:rPr>
        <w:t xml:space="preserve"> in der A</w:t>
      </w:r>
      <w:r>
        <w:rPr>
          <w:rFonts w:cs="Arial"/>
          <w:lang w:val="de-DE"/>
        </w:rPr>
        <w:t>lzheimer</w:t>
      </w:r>
      <w:r w:rsidRPr="00F200D9">
        <w:rPr>
          <w:rFonts w:cs="Arial"/>
          <w:lang w:val="de-DE"/>
        </w:rPr>
        <w:t>-Diagnostik</w:t>
      </w:r>
      <w:r>
        <w:rPr>
          <w:rFonts w:cs="Arial"/>
          <w:lang w:val="de-DE"/>
        </w:rPr>
        <w:t xml:space="preserve">. Eine entsprechende Richtlinie wird gerade vom DNG erarbeitet. </w:t>
      </w:r>
      <w:r w:rsidRPr="00F200D9">
        <w:rPr>
          <w:rFonts w:cs="Arial"/>
          <w:lang w:val="de-DE"/>
        </w:rPr>
        <w:t>Die aktualisierte S3-Leitlinie Demenzen (DGPPN/DGN) erkennt zwar an, dass neue Studien gute diagnostische</w:t>
      </w:r>
      <w:r>
        <w:rPr>
          <w:rFonts w:cs="Arial"/>
          <w:lang w:val="de-DE"/>
        </w:rPr>
        <w:t xml:space="preserve"> </w:t>
      </w:r>
      <w:r w:rsidRPr="00F200D9">
        <w:rPr>
          <w:rFonts w:cs="Arial"/>
          <w:lang w:val="de-DE"/>
        </w:rPr>
        <w:t xml:space="preserve">Werte für die </w:t>
      </w:r>
      <w:r w:rsidR="00C16844">
        <w:rPr>
          <w:rFonts w:cs="Arial"/>
          <w:lang w:val="de-DE"/>
        </w:rPr>
        <w:t>verfügbaren</w:t>
      </w:r>
      <w:r w:rsidRPr="00F200D9">
        <w:rPr>
          <w:rFonts w:cs="Arial"/>
          <w:lang w:val="de-DE"/>
        </w:rPr>
        <w:t xml:space="preserve"> </w:t>
      </w:r>
      <w:r w:rsidR="00C16844">
        <w:rPr>
          <w:rFonts w:cs="Arial"/>
          <w:lang w:val="de-DE"/>
        </w:rPr>
        <w:t>Blutb</w:t>
      </w:r>
      <w:r w:rsidRPr="00F200D9">
        <w:rPr>
          <w:rFonts w:cs="Arial"/>
          <w:lang w:val="de-DE"/>
        </w:rPr>
        <w:t xml:space="preserve">iomarker zeigen, hält jedoch fest, dass noch mehr Evidenz erforderlich sei. Sie empfiehlt den Einsatz von </w:t>
      </w:r>
      <w:r w:rsidRPr="00F200D9">
        <w:rPr>
          <w:rFonts w:cs="Arial"/>
          <w:lang w:val="de-DE"/>
        </w:rPr>
        <w:lastRenderedPageBreak/>
        <w:t>Blutmarkern derzeit nur in Verbindung mit bereits etablierten Verfahren und ausschließlich durch Expertinnen und Experten</w:t>
      </w:r>
      <w:r w:rsidR="00C16844">
        <w:rPr>
          <w:rFonts w:cs="Arial"/>
          <w:lang w:val="de-DE"/>
        </w:rPr>
        <w:t xml:space="preserve"> </w:t>
      </w:r>
      <w:r w:rsidRPr="00F200D9">
        <w:rPr>
          <w:rFonts w:cs="Arial"/>
          <w:lang w:val="de-DE"/>
        </w:rPr>
        <w:t>für Biomarker-Diagnostik. Ein nationaler Konsens zum Umgang mit grenzwertigen oder unschlüssigen Blutbiomarker-Befunden besteht noch nicht.</w:t>
      </w:r>
    </w:p>
    <w:p w14:paraId="5A4D1507" w14:textId="2405C86E" w:rsidR="00C16844" w:rsidRPr="00C16844" w:rsidRDefault="00C16844" w:rsidP="00C16844">
      <w:pPr>
        <w:pStyle w:val="berschrift2"/>
        <w:jc w:val="both"/>
        <w:rPr>
          <w:rFonts w:ascii="Arial" w:hAnsi="Arial" w:cs="Arial"/>
          <w:color w:val="auto"/>
          <w:lang w:val="de-DE"/>
        </w:rPr>
      </w:pPr>
      <w:r>
        <w:rPr>
          <w:rFonts w:ascii="Arial" w:hAnsi="Arial" w:cs="Arial"/>
          <w:color w:val="auto"/>
          <w:lang w:val="de-DE"/>
        </w:rPr>
        <w:t>3</w:t>
      </w:r>
      <w:r w:rsidRPr="003B652E">
        <w:rPr>
          <w:rFonts w:ascii="Arial" w:hAnsi="Arial" w:cs="Arial"/>
          <w:color w:val="auto"/>
          <w:lang w:val="de-DE"/>
        </w:rPr>
        <w:t xml:space="preserve">. </w:t>
      </w:r>
      <w:r w:rsidRPr="00C16844">
        <w:rPr>
          <w:rFonts w:ascii="Arial" w:hAnsi="Arial" w:cs="Arial"/>
          <w:color w:val="auto"/>
          <w:lang w:val="de-DE"/>
        </w:rPr>
        <w:t xml:space="preserve">Interpretation positiver </w:t>
      </w:r>
      <w:r>
        <w:rPr>
          <w:rFonts w:ascii="Arial" w:hAnsi="Arial" w:cs="Arial"/>
          <w:color w:val="auto"/>
          <w:lang w:val="de-DE"/>
        </w:rPr>
        <w:t>Blutbiomarker-</w:t>
      </w:r>
      <w:r w:rsidRPr="00C16844">
        <w:rPr>
          <w:rFonts w:ascii="Arial" w:hAnsi="Arial" w:cs="Arial"/>
          <w:color w:val="auto"/>
          <w:lang w:val="de-DE"/>
        </w:rPr>
        <w:t>Befunde</w:t>
      </w:r>
    </w:p>
    <w:p w14:paraId="0D75196F" w14:textId="1B917BC1" w:rsidR="00F200D9" w:rsidRPr="00F200D9" w:rsidRDefault="00C16844" w:rsidP="00F200D9">
      <w:pPr>
        <w:jc w:val="both"/>
        <w:rPr>
          <w:rFonts w:cs="Arial"/>
          <w:lang w:val="de-DE"/>
        </w:rPr>
      </w:pPr>
      <w:r>
        <w:rPr>
          <w:rFonts w:cs="Arial"/>
          <w:lang w:val="de-DE"/>
        </w:rPr>
        <w:t>Aus Sicht des DNG ist e</w:t>
      </w:r>
      <w:r w:rsidR="00F200D9" w:rsidRPr="00F200D9">
        <w:rPr>
          <w:rFonts w:cs="Arial"/>
          <w:lang w:val="de-DE"/>
        </w:rPr>
        <w:t xml:space="preserve">in </w:t>
      </w:r>
      <w:r>
        <w:rPr>
          <w:rFonts w:cs="Arial"/>
          <w:lang w:val="de-DE"/>
        </w:rPr>
        <w:t>auffälliges</w:t>
      </w:r>
      <w:r w:rsidR="00F200D9" w:rsidRPr="00F200D9">
        <w:rPr>
          <w:rFonts w:cs="Arial"/>
          <w:lang w:val="de-DE"/>
        </w:rPr>
        <w:t xml:space="preserve"> Plasma</w:t>
      </w:r>
      <w:r>
        <w:rPr>
          <w:rFonts w:cs="Arial"/>
          <w:lang w:val="de-DE"/>
        </w:rPr>
        <w:t>-</w:t>
      </w:r>
      <w:r w:rsidR="00F200D9" w:rsidRPr="00F200D9">
        <w:rPr>
          <w:rFonts w:cs="Arial"/>
          <w:lang w:val="de-DE"/>
        </w:rPr>
        <w:t>p</w:t>
      </w:r>
      <w:r>
        <w:rPr>
          <w:rFonts w:cs="Arial"/>
          <w:lang w:val="de-DE"/>
        </w:rPr>
        <w:t>T</w:t>
      </w:r>
      <w:r w:rsidR="00F200D9" w:rsidRPr="00F200D9">
        <w:rPr>
          <w:rFonts w:cs="Arial"/>
          <w:lang w:val="de-DE"/>
        </w:rPr>
        <w:t>au</w:t>
      </w:r>
      <w:r>
        <w:rPr>
          <w:rFonts w:cs="Arial"/>
          <w:lang w:val="de-DE"/>
        </w:rPr>
        <w:t>217</w:t>
      </w:r>
      <w:r w:rsidR="00F200D9" w:rsidRPr="00F200D9">
        <w:rPr>
          <w:rFonts w:cs="Arial"/>
          <w:lang w:val="de-DE"/>
        </w:rPr>
        <w:t>-Ergebnis in einem Versorgungskontext mit noch niedriger oder unspezifischer klinischer Vortestwahrscheinlichkeit allein nicht ausreichend, um eine A</w:t>
      </w:r>
      <w:r>
        <w:rPr>
          <w:rFonts w:cs="Arial"/>
          <w:lang w:val="de-DE"/>
        </w:rPr>
        <w:t>lzheimer</w:t>
      </w:r>
      <w:r w:rsidR="00F200D9" w:rsidRPr="00F200D9">
        <w:rPr>
          <w:rFonts w:cs="Arial"/>
          <w:lang w:val="de-DE"/>
        </w:rPr>
        <w:t>-Diagnose zu stellen. Dasselbe Ergebnis hingegen, das nach einer umfassenden</w:t>
      </w:r>
      <w:r>
        <w:rPr>
          <w:rFonts w:cs="Arial"/>
          <w:lang w:val="de-DE"/>
        </w:rPr>
        <w:t xml:space="preserve"> </w:t>
      </w:r>
      <w:r w:rsidR="00F200D9" w:rsidRPr="00F200D9">
        <w:rPr>
          <w:rFonts w:cs="Arial"/>
          <w:lang w:val="de-DE"/>
        </w:rPr>
        <w:t>klinischen Evaluation mit bereits hohem A</w:t>
      </w:r>
      <w:r>
        <w:rPr>
          <w:rFonts w:cs="Arial"/>
          <w:lang w:val="de-DE"/>
        </w:rPr>
        <w:t>lzheimer</w:t>
      </w:r>
      <w:r w:rsidR="00F200D9" w:rsidRPr="00F200D9">
        <w:rPr>
          <w:rFonts w:cs="Arial"/>
          <w:lang w:val="de-DE"/>
        </w:rPr>
        <w:t>-Verdacht erhoben wird, kann eine biologische Diagnose stützen. Ein positiver Blutbiomarker-Befund erfordert daher in der Regel eine weiterführende spezifische Diagnostik</w:t>
      </w:r>
      <w:r>
        <w:rPr>
          <w:rFonts w:cs="Arial"/>
          <w:lang w:val="de-DE"/>
        </w:rPr>
        <w:t xml:space="preserve">, </w:t>
      </w:r>
      <w:r w:rsidR="00F200D9" w:rsidRPr="00F200D9">
        <w:rPr>
          <w:rFonts w:cs="Arial"/>
          <w:lang w:val="de-DE"/>
        </w:rPr>
        <w:t>typischerweise mittels Liquorpunktion oder</w:t>
      </w:r>
      <w:r>
        <w:rPr>
          <w:rFonts w:cs="Arial"/>
          <w:lang w:val="de-DE"/>
        </w:rPr>
        <w:t xml:space="preserve"> </w:t>
      </w:r>
      <w:r w:rsidR="00F200D9" w:rsidRPr="00F200D9">
        <w:rPr>
          <w:rFonts w:cs="Arial"/>
          <w:lang w:val="de-DE"/>
        </w:rPr>
        <w:t>Amyloid-PET</w:t>
      </w:r>
      <w:r>
        <w:rPr>
          <w:rFonts w:cs="Arial"/>
          <w:lang w:val="de-DE"/>
        </w:rPr>
        <w:t>,</w:t>
      </w:r>
      <w:r w:rsidR="00F200D9" w:rsidRPr="00F200D9">
        <w:rPr>
          <w:rFonts w:cs="Arial"/>
          <w:lang w:val="de-DE"/>
        </w:rPr>
        <w:t xml:space="preserve"> zur gesicherten Bestätigung der </w:t>
      </w:r>
      <w:proofErr w:type="spellStart"/>
      <w:r w:rsidR="00F200D9" w:rsidRPr="00F200D9">
        <w:rPr>
          <w:rFonts w:cs="Arial"/>
          <w:lang w:val="de-DE"/>
        </w:rPr>
        <w:t>Amyloidpathologie</w:t>
      </w:r>
      <w:proofErr w:type="spellEnd"/>
      <w:r w:rsidR="00F200D9" w:rsidRPr="00F200D9">
        <w:rPr>
          <w:rFonts w:cs="Arial"/>
          <w:lang w:val="de-DE"/>
        </w:rPr>
        <w:t>, insbesondere wenn krankheitsmodifizierende Therapien erwogen werden.</w:t>
      </w:r>
    </w:p>
    <w:p w14:paraId="49177B68" w14:textId="7A041CFD" w:rsidR="00C16844" w:rsidRPr="00C16844" w:rsidRDefault="00C16844" w:rsidP="00C16844">
      <w:pPr>
        <w:pStyle w:val="berschrift2"/>
        <w:jc w:val="both"/>
        <w:rPr>
          <w:rFonts w:ascii="Arial" w:hAnsi="Arial" w:cs="Arial"/>
          <w:color w:val="auto"/>
          <w:lang w:val="de-DE"/>
        </w:rPr>
      </w:pPr>
      <w:r>
        <w:rPr>
          <w:rFonts w:ascii="Arial" w:hAnsi="Arial" w:cs="Arial"/>
          <w:color w:val="auto"/>
          <w:lang w:val="de-DE"/>
        </w:rPr>
        <w:t>4</w:t>
      </w:r>
      <w:r w:rsidRPr="003B652E">
        <w:rPr>
          <w:rFonts w:ascii="Arial" w:hAnsi="Arial" w:cs="Arial"/>
          <w:color w:val="auto"/>
          <w:lang w:val="de-DE"/>
        </w:rPr>
        <w:t xml:space="preserve">. </w:t>
      </w:r>
      <w:r w:rsidRPr="00C16844">
        <w:rPr>
          <w:rFonts w:ascii="Arial" w:hAnsi="Arial" w:cs="Arial"/>
          <w:color w:val="auto"/>
          <w:lang w:val="de-DE"/>
        </w:rPr>
        <w:t xml:space="preserve">Interpretation </w:t>
      </w:r>
      <w:r>
        <w:rPr>
          <w:rFonts w:ascii="Arial" w:hAnsi="Arial" w:cs="Arial"/>
          <w:color w:val="auto"/>
          <w:lang w:val="de-DE"/>
        </w:rPr>
        <w:t>negativer</w:t>
      </w:r>
      <w:r w:rsidRPr="00C16844">
        <w:rPr>
          <w:rFonts w:ascii="Arial" w:hAnsi="Arial" w:cs="Arial"/>
          <w:color w:val="auto"/>
          <w:lang w:val="de-DE"/>
        </w:rPr>
        <w:t xml:space="preserve"> </w:t>
      </w:r>
      <w:r>
        <w:rPr>
          <w:rFonts w:ascii="Arial" w:hAnsi="Arial" w:cs="Arial"/>
          <w:color w:val="auto"/>
          <w:lang w:val="de-DE"/>
        </w:rPr>
        <w:t xml:space="preserve">und grenzwertiger </w:t>
      </w:r>
      <w:r>
        <w:rPr>
          <w:rFonts w:ascii="Arial" w:hAnsi="Arial" w:cs="Arial"/>
          <w:color w:val="auto"/>
          <w:lang w:val="de-DE"/>
        </w:rPr>
        <w:t>Blutbiomarker-</w:t>
      </w:r>
      <w:r w:rsidRPr="00C16844">
        <w:rPr>
          <w:rFonts w:ascii="Arial" w:hAnsi="Arial" w:cs="Arial"/>
          <w:color w:val="auto"/>
          <w:lang w:val="de-DE"/>
        </w:rPr>
        <w:t>Befunde</w:t>
      </w:r>
    </w:p>
    <w:p w14:paraId="1F00D942" w14:textId="5D28DD24" w:rsidR="00F200D9" w:rsidRDefault="00F200D9" w:rsidP="00F200D9">
      <w:pPr>
        <w:jc w:val="both"/>
        <w:rPr>
          <w:rFonts w:cs="Arial"/>
          <w:lang w:val="de-DE"/>
        </w:rPr>
      </w:pPr>
      <w:r w:rsidRPr="00F200D9">
        <w:rPr>
          <w:rFonts w:cs="Arial"/>
          <w:lang w:val="de-DE"/>
        </w:rPr>
        <w:t xml:space="preserve">Ein negativer Blutbiomarker-Befund </w:t>
      </w:r>
      <w:r w:rsidR="00C16844">
        <w:rPr>
          <w:rFonts w:cs="Arial"/>
          <w:lang w:val="de-DE"/>
        </w:rPr>
        <w:t>sollte aus Sicht des DNG ebenfalls in den Gesamtkontext eingeordnet werden</w:t>
      </w:r>
      <w:r w:rsidRPr="00F200D9">
        <w:rPr>
          <w:rFonts w:cs="Arial"/>
          <w:lang w:val="de-DE"/>
        </w:rPr>
        <w:t>. Ein negatives Ergebnis ist nützlich, um eine A</w:t>
      </w:r>
      <w:r w:rsidR="00C16844">
        <w:rPr>
          <w:rFonts w:cs="Arial"/>
          <w:lang w:val="de-DE"/>
        </w:rPr>
        <w:t>lzheimer</w:t>
      </w:r>
      <w:r w:rsidRPr="00F200D9">
        <w:rPr>
          <w:rFonts w:cs="Arial"/>
          <w:lang w:val="de-DE"/>
        </w:rPr>
        <w:t xml:space="preserve">-Pathologie auszuschließen und alternative Ursachen in Betracht zu ziehen. </w:t>
      </w:r>
      <w:r w:rsidR="00C16844">
        <w:rPr>
          <w:rFonts w:cs="Arial"/>
          <w:lang w:val="de-DE"/>
        </w:rPr>
        <w:t xml:space="preserve">Gerade bei Messwerten knapp unter dem Trennwert kann es aber zu falsch-negativen Befunden kommen, deren Abklärung ebenfalls eine Liquorpunktion oder Amyloid-PET erfordern kann, wenn der klinische Verdacht fortbesteht. </w:t>
      </w:r>
      <w:r w:rsidRPr="00F200D9">
        <w:rPr>
          <w:rFonts w:cs="Arial"/>
          <w:lang w:val="de-DE"/>
        </w:rPr>
        <w:t xml:space="preserve">Darüber hinaus bedeutet ein negativer Befund nicht den Ausschluss einer Demenzerkrankung insgesamt. Er besagt lediglich, dass </w:t>
      </w:r>
      <w:proofErr w:type="spellStart"/>
      <w:r w:rsidRPr="00F200D9">
        <w:rPr>
          <w:rFonts w:cs="Arial"/>
          <w:lang w:val="de-DE"/>
        </w:rPr>
        <w:t>biomarkerbasierte</w:t>
      </w:r>
      <w:proofErr w:type="spellEnd"/>
      <w:r w:rsidRPr="00F200D9">
        <w:rPr>
          <w:rFonts w:cs="Arial"/>
          <w:lang w:val="de-DE"/>
        </w:rPr>
        <w:t xml:space="preserve"> Hinweise auf eine A</w:t>
      </w:r>
      <w:r w:rsidR="00C16844">
        <w:rPr>
          <w:rFonts w:cs="Arial"/>
          <w:lang w:val="de-DE"/>
        </w:rPr>
        <w:t>lzheimer</w:t>
      </w:r>
      <w:r w:rsidRPr="00F200D9">
        <w:rPr>
          <w:rFonts w:cs="Arial"/>
          <w:lang w:val="de-DE"/>
        </w:rPr>
        <w:t>-Ätiologie fehlen oder unterhalb der Nachweisgrenze liegen</w:t>
      </w:r>
      <w:r w:rsidR="00C16844">
        <w:rPr>
          <w:rFonts w:cs="Arial"/>
          <w:lang w:val="de-DE"/>
        </w:rPr>
        <w:t>. E</w:t>
      </w:r>
      <w:r w:rsidRPr="00F200D9">
        <w:rPr>
          <w:rFonts w:cs="Arial"/>
          <w:lang w:val="de-DE"/>
        </w:rPr>
        <w:t>ine Ursachenabklärung durch</w:t>
      </w:r>
      <w:r w:rsidR="00C16844">
        <w:rPr>
          <w:rFonts w:cs="Arial"/>
          <w:lang w:val="de-DE"/>
        </w:rPr>
        <w:t xml:space="preserve"> </w:t>
      </w:r>
      <w:r w:rsidRPr="00F200D9">
        <w:rPr>
          <w:rFonts w:cs="Arial"/>
          <w:lang w:val="de-DE"/>
        </w:rPr>
        <w:t xml:space="preserve">weiterführende Diagnostik, einschließlich Liquorpunktion, </w:t>
      </w:r>
      <w:r w:rsidR="00C16844">
        <w:rPr>
          <w:rFonts w:cs="Arial"/>
          <w:lang w:val="de-DE"/>
        </w:rPr>
        <w:t xml:space="preserve">kann in solchen Fällen weiter indiziert sein. </w:t>
      </w:r>
    </w:p>
    <w:p w14:paraId="465A3AE3" w14:textId="73EBA1DE" w:rsidR="00C16844" w:rsidRPr="00F200D9" w:rsidRDefault="00C16844" w:rsidP="00F200D9">
      <w:pPr>
        <w:jc w:val="both"/>
        <w:rPr>
          <w:rFonts w:cs="Arial"/>
          <w:lang w:val="de-DE"/>
        </w:rPr>
      </w:pPr>
      <w:r w:rsidRPr="00C16844">
        <w:rPr>
          <w:rFonts w:cs="Arial"/>
          <w:lang w:val="de-DE"/>
        </w:rPr>
        <w:t xml:space="preserve">Grenzwertige Befunde </w:t>
      </w:r>
      <w:r w:rsidRPr="00C16844">
        <w:rPr>
          <w:rFonts w:cs="Arial"/>
          <w:lang w:val="de-DE"/>
        </w:rPr>
        <w:t xml:space="preserve">(also beispielsweise solche, die zwischen einem oberen und einem unteren Trennwert liegen) sind </w:t>
      </w:r>
      <w:r w:rsidRPr="00C16844">
        <w:rPr>
          <w:rFonts w:cs="Arial"/>
          <w:lang w:val="de-DE"/>
        </w:rPr>
        <w:t xml:space="preserve">weder für die Bestätigung noch für den Ausschluss einer </w:t>
      </w:r>
      <w:proofErr w:type="spellStart"/>
      <w:r w:rsidRPr="00C16844">
        <w:rPr>
          <w:rFonts w:cs="Arial"/>
          <w:lang w:val="de-DE"/>
        </w:rPr>
        <w:t>Amyloidpathologie</w:t>
      </w:r>
      <w:proofErr w:type="spellEnd"/>
      <w:r w:rsidRPr="00C16844">
        <w:rPr>
          <w:rFonts w:cs="Arial"/>
          <w:lang w:val="de-DE"/>
        </w:rPr>
        <w:t xml:space="preserve"> konklusiv und erfordern eine weiterführende Evaluation. Hierüber besteht</w:t>
      </w:r>
      <w:r w:rsidRPr="00C16844">
        <w:rPr>
          <w:rFonts w:cs="Arial"/>
          <w:lang w:val="de-DE"/>
        </w:rPr>
        <w:t xml:space="preserve">, </w:t>
      </w:r>
      <w:r w:rsidRPr="00C16844">
        <w:rPr>
          <w:rFonts w:cs="Arial"/>
          <w:lang w:val="de-DE"/>
        </w:rPr>
        <w:t>auch international</w:t>
      </w:r>
      <w:r w:rsidRPr="00C16844">
        <w:rPr>
          <w:rFonts w:cs="Arial"/>
          <w:lang w:val="de-DE"/>
        </w:rPr>
        <w:t xml:space="preserve">, </w:t>
      </w:r>
      <w:r w:rsidRPr="00C16844">
        <w:rPr>
          <w:rFonts w:cs="Arial"/>
          <w:lang w:val="de-DE"/>
        </w:rPr>
        <w:t>noch kein abschließender Konsens zur optimalen Vorgehensweise.</w:t>
      </w:r>
    </w:p>
    <w:p w14:paraId="38ED94D7" w14:textId="72951986" w:rsidR="001D1E25" w:rsidRPr="003B652E" w:rsidRDefault="00C16844" w:rsidP="003B652E">
      <w:pPr>
        <w:pStyle w:val="berschrift2"/>
        <w:jc w:val="both"/>
        <w:rPr>
          <w:rFonts w:ascii="Arial" w:hAnsi="Arial" w:cs="Arial"/>
          <w:color w:val="auto"/>
          <w:lang w:val="de-DE"/>
        </w:rPr>
      </w:pPr>
      <w:r>
        <w:rPr>
          <w:rFonts w:ascii="Arial" w:hAnsi="Arial" w:cs="Arial"/>
          <w:color w:val="auto"/>
          <w:lang w:val="de-DE"/>
        </w:rPr>
        <w:t>5</w:t>
      </w:r>
      <w:r w:rsidR="00000000" w:rsidRPr="003B652E">
        <w:rPr>
          <w:rFonts w:ascii="Arial" w:hAnsi="Arial" w:cs="Arial"/>
          <w:color w:val="auto"/>
          <w:lang w:val="de-DE"/>
        </w:rPr>
        <w:t>. Anforderungen an Qualität, Präanalytik und Beratung</w:t>
      </w:r>
    </w:p>
    <w:p w14:paraId="0D73CF94" w14:textId="38A6F79D" w:rsidR="001D1E25" w:rsidRPr="003B652E" w:rsidRDefault="00000000" w:rsidP="003B652E">
      <w:pPr>
        <w:jc w:val="both"/>
        <w:rPr>
          <w:rFonts w:cs="Arial"/>
          <w:lang w:val="de-DE"/>
        </w:rPr>
      </w:pPr>
      <w:r w:rsidRPr="003B652E">
        <w:rPr>
          <w:rFonts w:cs="Arial"/>
          <w:lang w:val="de-DE"/>
        </w:rPr>
        <w:t xml:space="preserve">Voraussetzung für den klinischen Einsatz sind validierte Assays, standardisierte Präanalytik, qualitätsgesicherte Labordiagnostik und klar definierte </w:t>
      </w:r>
      <w:r w:rsidR="003B652E">
        <w:rPr>
          <w:rFonts w:cs="Arial"/>
          <w:lang w:val="de-DE"/>
        </w:rPr>
        <w:t>Trennwerte</w:t>
      </w:r>
      <w:r w:rsidR="00EC576A">
        <w:rPr>
          <w:rFonts w:cs="Arial"/>
          <w:lang w:val="de-DE"/>
        </w:rPr>
        <w:t>, jeweils passend zum klinischen Setting</w:t>
      </w:r>
      <w:r w:rsidRPr="003B652E">
        <w:rPr>
          <w:rFonts w:cs="Arial"/>
          <w:lang w:val="de-DE"/>
        </w:rPr>
        <w:t>. Ergebnisse unterschiedlicher Plattformen, Matrices und Algorithmen sind nicht ohne Weiteres austauschbar und müssen im jeweiligen klinischen und methodischen Kontext interpretiert werden.</w:t>
      </w:r>
    </w:p>
    <w:p w14:paraId="2EEF2194" w14:textId="0D81D1EE" w:rsidR="001D1E25" w:rsidRPr="003B652E" w:rsidRDefault="00000000" w:rsidP="003B652E">
      <w:pPr>
        <w:jc w:val="both"/>
        <w:rPr>
          <w:rFonts w:cs="Arial"/>
          <w:lang w:val="de-DE"/>
        </w:rPr>
      </w:pPr>
      <w:r w:rsidRPr="003B652E">
        <w:rPr>
          <w:rFonts w:cs="Arial"/>
          <w:lang w:val="de-DE"/>
        </w:rPr>
        <w:t xml:space="preserve">Vor jeder Testung müssen Ziel, Aussagekraft, Grenzen und mögliche Konsequenzen des Ergebnisses mit Patientinnen und Patienten besprochen werden. Dazu gehört auch eine strukturierte Nachbesprechung auffälliger oder unklarer Befunde. Die Einführung </w:t>
      </w:r>
      <w:r w:rsidR="00EC576A">
        <w:rPr>
          <w:rFonts w:cs="Arial"/>
          <w:lang w:val="de-DE"/>
        </w:rPr>
        <w:t>von Blutbiomarkern</w:t>
      </w:r>
      <w:r w:rsidRPr="003B652E">
        <w:rPr>
          <w:rFonts w:cs="Arial"/>
          <w:lang w:val="de-DE"/>
        </w:rPr>
        <w:t xml:space="preserve"> sollte zudem durch strukturierte Dokumentation und Versorgungsforschung begleitet werden, um diagnostische Genauigkeit, Auswirkungen auf Versorgungspfade, Patientenerleben und Therapieentscheidungen im klinischen Alltag zu evaluieren.</w:t>
      </w:r>
    </w:p>
    <w:p w14:paraId="26E8092D" w14:textId="0E57CFCE" w:rsidR="001D1E25" w:rsidRPr="003B652E" w:rsidRDefault="00C16844" w:rsidP="003B652E">
      <w:pPr>
        <w:pStyle w:val="berschrift2"/>
        <w:jc w:val="both"/>
        <w:rPr>
          <w:rFonts w:ascii="Arial" w:hAnsi="Arial" w:cs="Arial"/>
          <w:color w:val="auto"/>
          <w:lang w:val="de-DE"/>
        </w:rPr>
      </w:pPr>
      <w:r>
        <w:rPr>
          <w:rFonts w:ascii="Arial" w:hAnsi="Arial" w:cs="Arial"/>
          <w:color w:val="auto"/>
          <w:lang w:val="de-DE"/>
        </w:rPr>
        <w:t>6</w:t>
      </w:r>
      <w:r w:rsidR="00000000" w:rsidRPr="003B652E">
        <w:rPr>
          <w:rFonts w:ascii="Arial" w:hAnsi="Arial" w:cs="Arial"/>
          <w:color w:val="auto"/>
          <w:lang w:val="de-DE"/>
        </w:rPr>
        <w:t>. DNG-Empfehlung und S3-Leitlinie</w:t>
      </w:r>
    </w:p>
    <w:p w14:paraId="2EB4D818" w14:textId="1B9518B4" w:rsidR="001D1E25" w:rsidRPr="003B652E" w:rsidRDefault="00000000" w:rsidP="003B652E">
      <w:pPr>
        <w:jc w:val="both"/>
        <w:rPr>
          <w:rFonts w:cs="Arial"/>
          <w:lang w:val="de-DE"/>
        </w:rPr>
      </w:pPr>
      <w:r w:rsidRPr="003B652E">
        <w:rPr>
          <w:rFonts w:cs="Arial"/>
          <w:lang w:val="de-DE"/>
        </w:rPr>
        <w:t xml:space="preserve">Das DNG arbeitet aktuell an einer praxisorientierten Empfehlung zur Anwendung </w:t>
      </w:r>
      <w:r w:rsidR="00EC576A">
        <w:rPr>
          <w:rFonts w:cs="Arial"/>
          <w:lang w:val="de-DE"/>
        </w:rPr>
        <w:t>von Blutbiomarkern</w:t>
      </w:r>
      <w:r w:rsidRPr="003B652E">
        <w:rPr>
          <w:rFonts w:cs="Arial"/>
          <w:lang w:val="de-DE"/>
        </w:rPr>
        <w:t xml:space="preserve"> </w:t>
      </w:r>
      <w:r w:rsidR="00EC576A">
        <w:rPr>
          <w:rFonts w:cs="Arial"/>
          <w:lang w:val="de-DE"/>
        </w:rPr>
        <w:t>für den Einsatz im deutschen Gesundheitssystem</w:t>
      </w:r>
      <w:r w:rsidRPr="003B652E">
        <w:rPr>
          <w:rFonts w:cs="Arial"/>
          <w:lang w:val="de-DE"/>
        </w:rPr>
        <w:t xml:space="preserve">. Ziel ist es, Indikationen, diagnostische Pfade, Qualitätsanforderungen und Grenzen der Interpretation für </w:t>
      </w:r>
      <w:r w:rsidR="00EC576A">
        <w:rPr>
          <w:rFonts w:cs="Arial"/>
          <w:lang w:val="de-DE"/>
        </w:rPr>
        <w:t>relevante</w:t>
      </w:r>
      <w:r w:rsidRPr="003B652E">
        <w:rPr>
          <w:rFonts w:cs="Arial"/>
          <w:lang w:val="de-DE"/>
        </w:rPr>
        <w:t xml:space="preserve"> Einrichtungen und kooperierende Versorgungsstrukturen zu definieren.</w:t>
      </w:r>
    </w:p>
    <w:p w14:paraId="6AD2D4E7" w14:textId="037F156E" w:rsidR="001D1E25" w:rsidRPr="003B652E" w:rsidRDefault="00000000" w:rsidP="003B652E">
      <w:pPr>
        <w:jc w:val="both"/>
        <w:rPr>
          <w:rFonts w:cs="Arial"/>
          <w:lang w:val="de-DE"/>
        </w:rPr>
      </w:pPr>
      <w:r w:rsidRPr="003B652E">
        <w:rPr>
          <w:rFonts w:cs="Arial"/>
          <w:lang w:val="de-DE"/>
        </w:rPr>
        <w:lastRenderedPageBreak/>
        <w:t xml:space="preserve">Darüber hinaus wird das Thema </w:t>
      </w:r>
      <w:r w:rsidR="00EC576A" w:rsidRPr="004E21C5">
        <w:rPr>
          <w:rFonts w:cs="Arial"/>
        </w:rPr>
        <w:t xml:space="preserve">Blutbiomarker </w:t>
      </w:r>
      <w:r w:rsidRPr="003B652E">
        <w:rPr>
          <w:rFonts w:cs="Arial"/>
          <w:lang w:val="de-DE"/>
        </w:rPr>
        <w:t>im Rahmen der Weiterentwicklung der S3-Leitlinie Demenzen berücksichtigt. Damit besteht die Chance, die rasche technologische Entwicklung in evidenzbasierte, qualitätsgesicherte und für die Versorgung tragfähige Empfehlungen zu überführen.</w:t>
      </w:r>
    </w:p>
    <w:p w14:paraId="353E86FF" w14:textId="2C8E8C88" w:rsidR="001D1E25" w:rsidRDefault="00A9187E" w:rsidP="003B652E">
      <w:pPr>
        <w:pStyle w:val="berschrift2"/>
        <w:jc w:val="both"/>
        <w:rPr>
          <w:rFonts w:ascii="Arial" w:hAnsi="Arial" w:cs="Arial"/>
          <w:color w:val="auto"/>
          <w:lang w:val="de-DE"/>
        </w:rPr>
      </w:pPr>
      <w:r>
        <w:rPr>
          <w:rFonts w:ascii="Arial" w:hAnsi="Arial" w:cs="Arial"/>
          <w:color w:val="auto"/>
          <w:lang w:val="de-DE"/>
        </w:rPr>
        <w:t>7</w:t>
      </w:r>
      <w:r w:rsidR="00000000" w:rsidRPr="003B652E">
        <w:rPr>
          <w:rFonts w:ascii="Arial" w:hAnsi="Arial" w:cs="Arial"/>
          <w:color w:val="auto"/>
          <w:lang w:val="de-DE"/>
        </w:rPr>
        <w:t>. Was aus Sicht des DNG daraus folgt</w:t>
      </w:r>
    </w:p>
    <w:p w14:paraId="448657E8" w14:textId="3F88A87A" w:rsidR="00A9187E" w:rsidRPr="00A9187E" w:rsidRDefault="00A9187E" w:rsidP="00A9187E">
      <w:pPr>
        <w:jc w:val="both"/>
        <w:rPr>
          <w:rFonts w:cs="Arial"/>
          <w:lang w:val="de-DE"/>
        </w:rPr>
      </w:pPr>
      <w:r w:rsidRPr="00A9187E">
        <w:rPr>
          <w:rFonts w:cs="Arial"/>
          <w:lang w:val="de-DE"/>
        </w:rPr>
        <w:t>Blutbiomarker stellen einen vielversprechenden Fortschritt in der A</w:t>
      </w:r>
      <w:r>
        <w:rPr>
          <w:rFonts w:cs="Arial"/>
          <w:lang w:val="de-DE"/>
        </w:rPr>
        <w:t>lzheimer</w:t>
      </w:r>
      <w:r w:rsidRPr="00A9187E">
        <w:rPr>
          <w:rFonts w:cs="Arial"/>
          <w:lang w:val="de-DE"/>
        </w:rPr>
        <w:t>-Diagnostik dar, der den Zugang zu einer biologisch fundierten Diagnose erleichtern könnte. Biologische Variabilität, Begleiterkrankungen und altersbedingte Veränderungen beeinflussen</w:t>
      </w:r>
      <w:r>
        <w:rPr>
          <w:rFonts w:cs="Arial"/>
          <w:lang w:val="de-DE"/>
        </w:rPr>
        <w:t xml:space="preserve"> </w:t>
      </w:r>
      <w:r w:rsidRPr="00A9187E">
        <w:rPr>
          <w:rFonts w:cs="Arial"/>
          <w:lang w:val="de-DE"/>
        </w:rPr>
        <w:t xml:space="preserve">jedoch die Testgenauigkeit. Um Fehldiagnosen, Überdiagnosen oder Verunsicherung der Patienten zu vermeiden, muss ein multidisziplinäres Modell im Zentrum der </w:t>
      </w:r>
      <w:proofErr w:type="spellStart"/>
      <w:r w:rsidRPr="00A9187E">
        <w:rPr>
          <w:rFonts w:cs="Arial"/>
          <w:lang w:val="de-DE"/>
        </w:rPr>
        <w:t>biomarkerbasierten</w:t>
      </w:r>
      <w:proofErr w:type="spellEnd"/>
      <w:r w:rsidRPr="00A9187E">
        <w:rPr>
          <w:rFonts w:cs="Arial"/>
          <w:lang w:val="de-DE"/>
        </w:rPr>
        <w:t xml:space="preserve"> Demenzdiagnostik bleiben. Im gegenwärtigen Entwicklungsstand </w:t>
      </w:r>
      <w:r>
        <w:rPr>
          <w:rFonts w:cs="Arial"/>
          <w:lang w:val="de-DE"/>
        </w:rPr>
        <w:t>können</w:t>
      </w:r>
      <w:r w:rsidRPr="00A9187E">
        <w:rPr>
          <w:rFonts w:cs="Arial"/>
          <w:lang w:val="de-DE"/>
        </w:rPr>
        <w:t xml:space="preserve"> sowohl positive</w:t>
      </w:r>
      <w:r>
        <w:rPr>
          <w:rFonts w:cs="Arial"/>
          <w:lang w:val="de-DE"/>
        </w:rPr>
        <w:t xml:space="preserve"> </w:t>
      </w:r>
      <w:r w:rsidRPr="00A9187E">
        <w:rPr>
          <w:rFonts w:cs="Arial"/>
          <w:lang w:val="de-DE"/>
        </w:rPr>
        <w:t xml:space="preserve">als auch </w:t>
      </w:r>
      <w:r>
        <w:rPr>
          <w:rFonts w:cs="Arial"/>
          <w:lang w:val="de-DE"/>
        </w:rPr>
        <w:t xml:space="preserve">manche </w:t>
      </w:r>
      <w:r w:rsidRPr="00A9187E">
        <w:rPr>
          <w:rFonts w:cs="Arial"/>
          <w:lang w:val="de-DE"/>
        </w:rPr>
        <w:t>negative</w:t>
      </w:r>
      <w:r>
        <w:rPr>
          <w:rFonts w:cs="Arial"/>
          <w:lang w:val="de-DE"/>
        </w:rPr>
        <w:t>n oder grenzwertigen Befunde</w:t>
      </w:r>
      <w:r w:rsidRPr="00A9187E">
        <w:rPr>
          <w:rFonts w:cs="Arial"/>
          <w:lang w:val="de-DE"/>
        </w:rPr>
        <w:t xml:space="preserve"> zur Notwendigkeit einer weiterführenden spezifischen Bestätigungsdiagnostik</w:t>
      </w:r>
      <w:r>
        <w:rPr>
          <w:rFonts w:cs="Arial"/>
          <w:lang w:val="de-DE"/>
        </w:rPr>
        <w:t xml:space="preserve"> führen</w:t>
      </w:r>
      <w:r w:rsidRPr="00A9187E">
        <w:rPr>
          <w:rFonts w:cs="Arial"/>
          <w:lang w:val="de-DE"/>
        </w:rPr>
        <w:t>. Für die deutsche Versorgungssituation fehlen bislang einheitliche Empfehlungen zur Integration blutbasierter Biomarker in den klinischen Alltag</w:t>
      </w:r>
      <w:r>
        <w:rPr>
          <w:rFonts w:cs="Arial"/>
          <w:lang w:val="de-DE"/>
        </w:rPr>
        <w:t xml:space="preserve">, </w:t>
      </w:r>
      <w:r w:rsidRPr="00A9187E">
        <w:rPr>
          <w:rFonts w:cs="Arial"/>
          <w:lang w:val="de-DE"/>
        </w:rPr>
        <w:t>insbesondere zum Umgang mit intermediären Befunden, zur Frage der geeigneten Versorgungsebene und zu Qualitätsstandards für die Testdurchführung. Die DNG sieht es als ihre Aufgabe, gemeinsam mit den relevanten Fachgesellschaften einen nationalen Konsens</w:t>
      </w:r>
      <w:r>
        <w:rPr>
          <w:rFonts w:cs="Arial"/>
          <w:lang w:val="de-DE"/>
        </w:rPr>
        <w:t xml:space="preserve"> </w:t>
      </w:r>
      <w:r w:rsidRPr="00A9187E">
        <w:rPr>
          <w:rFonts w:cs="Arial"/>
          <w:lang w:val="de-DE"/>
        </w:rPr>
        <w:t xml:space="preserve">zu erarbeiten, der die spezifischen Strukturen der deutschen Gedächtnisambulanzversorgung berücksichtigt und </w:t>
      </w:r>
      <w:r>
        <w:rPr>
          <w:rFonts w:cs="Arial"/>
          <w:lang w:val="de-DE"/>
        </w:rPr>
        <w:t>den sowohl den Betroffenen als auch ihren Versorgenden</w:t>
      </w:r>
      <w:r w:rsidRPr="00A9187E">
        <w:rPr>
          <w:rFonts w:cs="Arial"/>
          <w:lang w:val="de-DE"/>
        </w:rPr>
        <w:t xml:space="preserve"> verlässliche Orientierung bietet.</w:t>
      </w:r>
    </w:p>
    <w:p w14:paraId="281B9094" w14:textId="77777777" w:rsidR="00A9187E" w:rsidRPr="00A9187E" w:rsidRDefault="00A9187E" w:rsidP="00A9187E">
      <w:pPr>
        <w:jc w:val="both"/>
        <w:rPr>
          <w:rFonts w:cs="Arial"/>
          <w:lang w:val="de-DE"/>
        </w:rPr>
      </w:pPr>
    </w:p>
    <w:p w14:paraId="1A816315" w14:textId="77777777" w:rsidR="001D1E25" w:rsidRPr="004E21C5" w:rsidRDefault="00000000" w:rsidP="003B652E">
      <w:pPr>
        <w:spacing w:before="200"/>
        <w:jc w:val="both"/>
        <w:rPr>
          <w:rFonts w:cs="Arial"/>
          <w:lang w:val="de-DE"/>
        </w:rPr>
      </w:pPr>
      <w:r w:rsidRPr="004E21C5">
        <w:rPr>
          <w:rFonts w:cs="Arial"/>
          <w:b/>
          <w:lang w:val="de-DE"/>
        </w:rPr>
        <w:t>Ausgewählte Quellen</w:t>
      </w:r>
    </w:p>
    <w:p w14:paraId="6B711C45" w14:textId="1224627B" w:rsidR="00F200D9" w:rsidRDefault="00F200D9" w:rsidP="003B652E">
      <w:pPr>
        <w:jc w:val="both"/>
        <w:rPr>
          <w:rFonts w:cs="Arial"/>
          <w:lang w:val="de-DE"/>
        </w:rPr>
      </w:pPr>
      <w:r>
        <w:rPr>
          <w:rFonts w:cs="Arial"/>
          <w:lang w:val="de-DE"/>
        </w:rPr>
        <w:t xml:space="preserve">Gaetani L, et al. </w:t>
      </w:r>
      <w:r w:rsidRPr="00F200D9">
        <w:rPr>
          <w:rFonts w:cs="Arial"/>
          <w:lang w:val="de-DE"/>
        </w:rPr>
        <w:t>Blood-</w:t>
      </w:r>
      <w:proofErr w:type="spellStart"/>
      <w:r w:rsidRPr="00F200D9">
        <w:rPr>
          <w:rFonts w:cs="Arial"/>
          <w:lang w:val="de-DE"/>
        </w:rPr>
        <w:t>based</w:t>
      </w:r>
      <w:proofErr w:type="spellEnd"/>
      <w:r w:rsidRPr="00F200D9">
        <w:rPr>
          <w:rFonts w:cs="Arial"/>
          <w:lang w:val="de-DE"/>
        </w:rPr>
        <w:t xml:space="preserve"> </w:t>
      </w:r>
      <w:proofErr w:type="spellStart"/>
      <w:r w:rsidRPr="00F200D9">
        <w:rPr>
          <w:rFonts w:cs="Arial"/>
          <w:lang w:val="de-DE"/>
        </w:rPr>
        <w:t>biomarkers</w:t>
      </w:r>
      <w:proofErr w:type="spellEnd"/>
      <w:r w:rsidRPr="00F200D9">
        <w:rPr>
          <w:rFonts w:cs="Arial"/>
          <w:lang w:val="de-DE"/>
        </w:rPr>
        <w:t xml:space="preserve"> </w:t>
      </w:r>
      <w:proofErr w:type="spellStart"/>
      <w:r w:rsidRPr="00F200D9">
        <w:rPr>
          <w:rFonts w:cs="Arial"/>
          <w:lang w:val="de-DE"/>
        </w:rPr>
        <w:t>for</w:t>
      </w:r>
      <w:proofErr w:type="spellEnd"/>
      <w:r w:rsidRPr="00F200D9">
        <w:rPr>
          <w:rFonts w:cs="Arial"/>
          <w:lang w:val="de-DE"/>
        </w:rPr>
        <w:t xml:space="preserve"> </w:t>
      </w:r>
      <w:proofErr w:type="spellStart"/>
      <w:r w:rsidRPr="00F200D9">
        <w:rPr>
          <w:rFonts w:cs="Arial"/>
          <w:lang w:val="de-DE"/>
        </w:rPr>
        <w:t>Alzheimer’s</w:t>
      </w:r>
      <w:proofErr w:type="spellEnd"/>
      <w:r w:rsidRPr="00F200D9">
        <w:rPr>
          <w:rFonts w:cs="Arial"/>
          <w:lang w:val="de-DE"/>
        </w:rPr>
        <w:t xml:space="preserve"> </w:t>
      </w:r>
      <w:proofErr w:type="spellStart"/>
      <w:r w:rsidRPr="00F200D9">
        <w:rPr>
          <w:rFonts w:cs="Arial"/>
          <w:lang w:val="de-DE"/>
        </w:rPr>
        <w:t>disease</w:t>
      </w:r>
      <w:proofErr w:type="spellEnd"/>
      <w:r w:rsidRPr="00F200D9">
        <w:rPr>
          <w:rFonts w:cs="Arial"/>
          <w:lang w:val="de-DE"/>
        </w:rPr>
        <w:t xml:space="preserve"> </w:t>
      </w:r>
      <w:proofErr w:type="spellStart"/>
      <w:r w:rsidRPr="00F200D9">
        <w:rPr>
          <w:rFonts w:cs="Arial"/>
          <w:lang w:val="de-DE"/>
        </w:rPr>
        <w:t>diagnosis</w:t>
      </w:r>
      <w:proofErr w:type="spellEnd"/>
      <w:r w:rsidRPr="00F200D9">
        <w:rPr>
          <w:rFonts w:cs="Arial"/>
          <w:lang w:val="de-DE"/>
        </w:rPr>
        <w:t xml:space="preserve">: a </w:t>
      </w:r>
      <w:proofErr w:type="spellStart"/>
      <w:r w:rsidRPr="00F200D9">
        <w:rPr>
          <w:rFonts w:cs="Arial"/>
          <w:lang w:val="de-DE"/>
        </w:rPr>
        <w:t>joint</w:t>
      </w:r>
      <w:proofErr w:type="spellEnd"/>
      <w:r w:rsidRPr="00F200D9">
        <w:rPr>
          <w:rFonts w:cs="Arial"/>
          <w:lang w:val="de-DE"/>
        </w:rPr>
        <w:t xml:space="preserve"> </w:t>
      </w:r>
      <w:proofErr w:type="spellStart"/>
      <w:r w:rsidRPr="00F200D9">
        <w:rPr>
          <w:rFonts w:cs="Arial"/>
          <w:lang w:val="de-DE"/>
        </w:rPr>
        <w:t>position</w:t>
      </w:r>
      <w:proofErr w:type="spellEnd"/>
      <w:r w:rsidRPr="00F200D9">
        <w:rPr>
          <w:rFonts w:cs="Arial"/>
          <w:lang w:val="de-DE"/>
        </w:rPr>
        <w:t xml:space="preserve"> </w:t>
      </w:r>
      <w:proofErr w:type="spellStart"/>
      <w:r w:rsidRPr="00F200D9">
        <w:rPr>
          <w:rFonts w:cs="Arial"/>
          <w:lang w:val="de-DE"/>
        </w:rPr>
        <w:t>paper</w:t>
      </w:r>
      <w:proofErr w:type="spellEnd"/>
      <w:r w:rsidRPr="00F200D9">
        <w:rPr>
          <w:rFonts w:cs="Arial"/>
          <w:lang w:val="de-DE"/>
        </w:rPr>
        <w:t xml:space="preserve"> </w:t>
      </w:r>
      <w:proofErr w:type="spellStart"/>
      <w:r w:rsidRPr="00F200D9">
        <w:rPr>
          <w:rFonts w:cs="Arial"/>
          <w:lang w:val="de-DE"/>
        </w:rPr>
        <w:t>from</w:t>
      </w:r>
      <w:proofErr w:type="spellEnd"/>
      <w:r w:rsidRPr="00F200D9">
        <w:rPr>
          <w:rFonts w:cs="Arial"/>
          <w:lang w:val="de-DE"/>
        </w:rPr>
        <w:t xml:space="preserve"> </w:t>
      </w:r>
      <w:proofErr w:type="spellStart"/>
      <w:r w:rsidRPr="00F200D9">
        <w:rPr>
          <w:rFonts w:cs="Arial"/>
          <w:lang w:val="de-DE"/>
        </w:rPr>
        <w:t>the</w:t>
      </w:r>
      <w:proofErr w:type="spellEnd"/>
      <w:r w:rsidRPr="00F200D9">
        <w:rPr>
          <w:rFonts w:cs="Arial"/>
          <w:lang w:val="de-DE"/>
        </w:rPr>
        <w:t xml:space="preserve"> </w:t>
      </w:r>
      <w:proofErr w:type="spellStart"/>
      <w:r w:rsidRPr="00F200D9">
        <w:rPr>
          <w:rFonts w:cs="Arial"/>
          <w:lang w:val="de-DE"/>
        </w:rPr>
        <w:t>Italian</w:t>
      </w:r>
      <w:proofErr w:type="spellEnd"/>
      <w:r w:rsidRPr="00F200D9">
        <w:rPr>
          <w:rFonts w:cs="Arial"/>
          <w:lang w:val="de-DE"/>
        </w:rPr>
        <w:t xml:space="preserve"> Societies </w:t>
      </w:r>
      <w:proofErr w:type="spellStart"/>
      <w:r w:rsidRPr="00F200D9">
        <w:rPr>
          <w:rFonts w:cs="Arial"/>
          <w:lang w:val="de-DE"/>
        </w:rPr>
        <w:t>of</w:t>
      </w:r>
      <w:proofErr w:type="spellEnd"/>
      <w:r w:rsidRPr="00F200D9">
        <w:rPr>
          <w:rFonts w:cs="Arial"/>
          <w:lang w:val="de-DE"/>
        </w:rPr>
        <w:t xml:space="preserve"> </w:t>
      </w:r>
      <w:proofErr w:type="spellStart"/>
      <w:r w:rsidRPr="00F200D9">
        <w:rPr>
          <w:rFonts w:cs="Arial"/>
          <w:lang w:val="de-DE"/>
        </w:rPr>
        <w:t>Neurology</w:t>
      </w:r>
      <w:proofErr w:type="spellEnd"/>
      <w:r w:rsidRPr="00F200D9">
        <w:rPr>
          <w:rFonts w:cs="Arial"/>
          <w:lang w:val="de-DE"/>
        </w:rPr>
        <w:t xml:space="preserve"> (SIN) and </w:t>
      </w:r>
      <w:proofErr w:type="spellStart"/>
      <w:r w:rsidRPr="00F200D9">
        <w:rPr>
          <w:rFonts w:cs="Arial"/>
          <w:lang w:val="de-DE"/>
        </w:rPr>
        <w:t>of</w:t>
      </w:r>
      <w:proofErr w:type="spellEnd"/>
      <w:r w:rsidRPr="00F200D9">
        <w:rPr>
          <w:rFonts w:cs="Arial"/>
          <w:lang w:val="de-DE"/>
        </w:rPr>
        <w:t xml:space="preserve"> Clinical </w:t>
      </w:r>
      <w:proofErr w:type="spellStart"/>
      <w:r w:rsidRPr="00F200D9">
        <w:rPr>
          <w:rFonts w:cs="Arial"/>
          <w:lang w:val="de-DE"/>
        </w:rPr>
        <w:t>Biochemistry</w:t>
      </w:r>
      <w:proofErr w:type="spellEnd"/>
      <w:r w:rsidRPr="00F200D9">
        <w:rPr>
          <w:rFonts w:cs="Arial"/>
          <w:lang w:val="de-DE"/>
        </w:rPr>
        <w:t xml:space="preserve"> and Clinical </w:t>
      </w:r>
      <w:proofErr w:type="spellStart"/>
      <w:r w:rsidRPr="00F200D9">
        <w:rPr>
          <w:rFonts w:cs="Arial"/>
          <w:lang w:val="de-DE"/>
        </w:rPr>
        <w:t>Molecular</w:t>
      </w:r>
      <w:proofErr w:type="spellEnd"/>
      <w:r w:rsidRPr="00F200D9">
        <w:rPr>
          <w:rFonts w:cs="Arial"/>
          <w:lang w:val="de-DE"/>
        </w:rPr>
        <w:t xml:space="preserve"> </w:t>
      </w:r>
      <w:proofErr w:type="spellStart"/>
      <w:r w:rsidRPr="00F200D9">
        <w:rPr>
          <w:rFonts w:cs="Arial"/>
          <w:lang w:val="de-DE"/>
        </w:rPr>
        <w:t>Biology</w:t>
      </w:r>
      <w:proofErr w:type="spellEnd"/>
      <w:r w:rsidRPr="00F200D9">
        <w:rPr>
          <w:rFonts w:cs="Arial"/>
          <w:lang w:val="de-DE"/>
        </w:rPr>
        <w:t xml:space="preserve"> - Laboratory </w:t>
      </w:r>
      <w:proofErr w:type="gramStart"/>
      <w:r w:rsidRPr="00F200D9">
        <w:rPr>
          <w:rFonts w:cs="Arial"/>
          <w:lang w:val="de-DE"/>
        </w:rPr>
        <w:t>Medicine(</w:t>
      </w:r>
      <w:proofErr w:type="spellStart"/>
      <w:proofErr w:type="gramEnd"/>
      <w:r w:rsidRPr="00F200D9">
        <w:rPr>
          <w:rFonts w:cs="Arial"/>
          <w:lang w:val="de-DE"/>
        </w:rPr>
        <w:t>SIBioC</w:t>
      </w:r>
      <w:proofErr w:type="spellEnd"/>
      <w:r w:rsidRPr="00F200D9">
        <w:rPr>
          <w:rFonts w:cs="Arial"/>
          <w:lang w:val="de-DE"/>
        </w:rPr>
        <w:t xml:space="preserve">) and </w:t>
      </w:r>
      <w:proofErr w:type="spellStart"/>
      <w:r w:rsidRPr="00F200D9">
        <w:rPr>
          <w:rFonts w:cs="Arial"/>
          <w:lang w:val="de-DE"/>
        </w:rPr>
        <w:t>from</w:t>
      </w:r>
      <w:proofErr w:type="spellEnd"/>
      <w:r w:rsidRPr="00F200D9">
        <w:rPr>
          <w:rFonts w:cs="Arial"/>
          <w:lang w:val="de-DE"/>
        </w:rPr>
        <w:t xml:space="preserve"> </w:t>
      </w:r>
      <w:proofErr w:type="spellStart"/>
      <w:r w:rsidRPr="00F200D9">
        <w:rPr>
          <w:rFonts w:cs="Arial"/>
          <w:lang w:val="de-DE"/>
        </w:rPr>
        <w:t>the</w:t>
      </w:r>
      <w:proofErr w:type="spellEnd"/>
      <w:r w:rsidRPr="00F200D9">
        <w:rPr>
          <w:rFonts w:cs="Arial"/>
          <w:lang w:val="de-DE"/>
        </w:rPr>
        <w:t xml:space="preserve"> </w:t>
      </w:r>
      <w:proofErr w:type="spellStart"/>
      <w:r w:rsidRPr="00F200D9">
        <w:rPr>
          <w:rFonts w:cs="Arial"/>
          <w:lang w:val="de-DE"/>
        </w:rPr>
        <w:t>Autonomous</w:t>
      </w:r>
      <w:proofErr w:type="spellEnd"/>
      <w:r w:rsidRPr="00F200D9">
        <w:rPr>
          <w:rFonts w:cs="Arial"/>
          <w:lang w:val="de-DE"/>
        </w:rPr>
        <w:t xml:space="preserve"> </w:t>
      </w:r>
      <w:proofErr w:type="spellStart"/>
      <w:r w:rsidRPr="00F200D9">
        <w:rPr>
          <w:rFonts w:cs="Arial"/>
          <w:lang w:val="de-DE"/>
        </w:rPr>
        <w:t>Association</w:t>
      </w:r>
      <w:proofErr w:type="spellEnd"/>
      <w:r w:rsidRPr="00F200D9">
        <w:rPr>
          <w:rFonts w:cs="Arial"/>
          <w:lang w:val="de-DE"/>
        </w:rPr>
        <w:t xml:space="preserve"> </w:t>
      </w:r>
      <w:proofErr w:type="spellStart"/>
      <w:r w:rsidRPr="00F200D9">
        <w:rPr>
          <w:rFonts w:cs="Arial"/>
          <w:lang w:val="de-DE"/>
        </w:rPr>
        <w:t>affiliated</w:t>
      </w:r>
      <w:proofErr w:type="spellEnd"/>
      <w:r w:rsidRPr="00F200D9">
        <w:rPr>
          <w:rFonts w:cs="Arial"/>
          <w:lang w:val="de-DE"/>
        </w:rPr>
        <w:t xml:space="preserve"> </w:t>
      </w:r>
      <w:proofErr w:type="spellStart"/>
      <w:r w:rsidRPr="00F200D9">
        <w:rPr>
          <w:rFonts w:cs="Arial"/>
          <w:lang w:val="de-DE"/>
        </w:rPr>
        <w:t>with</w:t>
      </w:r>
      <w:proofErr w:type="spellEnd"/>
      <w:r w:rsidRPr="00F200D9">
        <w:rPr>
          <w:rFonts w:cs="Arial"/>
          <w:lang w:val="de-DE"/>
        </w:rPr>
        <w:t xml:space="preserve"> SIN </w:t>
      </w:r>
      <w:proofErr w:type="spellStart"/>
      <w:r w:rsidRPr="00F200D9">
        <w:rPr>
          <w:rFonts w:cs="Arial"/>
          <w:lang w:val="de-DE"/>
        </w:rPr>
        <w:t>for</w:t>
      </w:r>
      <w:proofErr w:type="spellEnd"/>
      <w:r w:rsidRPr="00F200D9">
        <w:rPr>
          <w:rFonts w:cs="Arial"/>
          <w:lang w:val="de-DE"/>
        </w:rPr>
        <w:t xml:space="preserve"> </w:t>
      </w:r>
      <w:proofErr w:type="spellStart"/>
      <w:r w:rsidRPr="00F200D9">
        <w:rPr>
          <w:rFonts w:cs="Arial"/>
          <w:lang w:val="de-DE"/>
        </w:rPr>
        <w:t>dementia</w:t>
      </w:r>
      <w:proofErr w:type="spellEnd"/>
      <w:r w:rsidRPr="00F200D9">
        <w:rPr>
          <w:rFonts w:cs="Arial"/>
          <w:lang w:val="de-DE"/>
        </w:rPr>
        <w:t xml:space="preserve"> (</w:t>
      </w:r>
      <w:proofErr w:type="spellStart"/>
      <w:r w:rsidRPr="00F200D9">
        <w:rPr>
          <w:rFonts w:cs="Arial"/>
          <w:lang w:val="de-DE"/>
        </w:rPr>
        <w:t>SINdem</w:t>
      </w:r>
      <w:proofErr w:type="spellEnd"/>
      <w:r w:rsidRPr="00F200D9">
        <w:rPr>
          <w:rFonts w:cs="Arial"/>
          <w:lang w:val="de-DE"/>
        </w:rPr>
        <w:t>)</w:t>
      </w:r>
      <w:r>
        <w:rPr>
          <w:rFonts w:cs="Arial"/>
          <w:lang w:val="de-DE"/>
        </w:rPr>
        <w:t xml:space="preserve">. </w:t>
      </w:r>
      <w:proofErr w:type="spellStart"/>
      <w:r>
        <w:rPr>
          <w:rFonts w:cs="Arial"/>
          <w:lang w:val="de-DE"/>
        </w:rPr>
        <w:t>Neurol</w:t>
      </w:r>
      <w:proofErr w:type="spellEnd"/>
      <w:r>
        <w:rPr>
          <w:rFonts w:cs="Arial"/>
          <w:lang w:val="de-DE"/>
        </w:rPr>
        <w:t xml:space="preserve"> </w:t>
      </w:r>
      <w:proofErr w:type="spellStart"/>
      <w:r>
        <w:rPr>
          <w:rFonts w:cs="Arial"/>
          <w:lang w:val="de-DE"/>
        </w:rPr>
        <w:t>Sci</w:t>
      </w:r>
      <w:proofErr w:type="spellEnd"/>
      <w:r>
        <w:rPr>
          <w:rFonts w:cs="Arial"/>
          <w:lang w:val="de-DE"/>
        </w:rPr>
        <w:t xml:space="preserve"> 2026; 47(4):355</w:t>
      </w:r>
    </w:p>
    <w:p w14:paraId="70C2EA67" w14:textId="2CDE690E" w:rsidR="001D1E25" w:rsidRPr="004E21C5" w:rsidRDefault="00000000" w:rsidP="003B652E">
      <w:pPr>
        <w:jc w:val="both"/>
        <w:rPr>
          <w:rFonts w:cs="Arial"/>
          <w:lang w:val="de-DE"/>
        </w:rPr>
      </w:pPr>
      <w:proofErr w:type="spellStart"/>
      <w:r w:rsidRPr="004E21C5">
        <w:rPr>
          <w:rFonts w:cs="Arial"/>
          <w:lang w:val="de-DE"/>
        </w:rPr>
        <w:t>Fujirebio</w:t>
      </w:r>
      <w:proofErr w:type="spellEnd"/>
      <w:r w:rsidRPr="004E21C5">
        <w:rPr>
          <w:rFonts w:cs="Arial"/>
          <w:lang w:val="de-DE"/>
        </w:rPr>
        <w:t xml:space="preserve">: </w:t>
      </w:r>
      <w:proofErr w:type="spellStart"/>
      <w:r w:rsidRPr="004E21C5">
        <w:rPr>
          <w:rFonts w:cs="Arial"/>
          <w:lang w:val="de-DE"/>
        </w:rPr>
        <w:t>Fujirebio</w:t>
      </w:r>
      <w:proofErr w:type="spellEnd"/>
      <w:r w:rsidRPr="004E21C5">
        <w:rPr>
          <w:rFonts w:cs="Arial"/>
          <w:lang w:val="de-DE"/>
        </w:rPr>
        <w:t xml:space="preserve"> </w:t>
      </w:r>
      <w:proofErr w:type="spellStart"/>
      <w:r w:rsidRPr="004E21C5">
        <w:rPr>
          <w:rFonts w:cs="Arial"/>
          <w:lang w:val="de-DE"/>
        </w:rPr>
        <w:t>announces</w:t>
      </w:r>
      <w:proofErr w:type="spellEnd"/>
      <w:r w:rsidRPr="004E21C5">
        <w:rPr>
          <w:rFonts w:cs="Arial"/>
          <w:lang w:val="de-DE"/>
        </w:rPr>
        <w:t xml:space="preserve"> CE marking of the fully automated Lumipulse G pTau 217 Plasma assay, 11.05.2026. https://www.fujirebio.com/en/news-events/fujirebio-announces-ce-marking-of-the-fully-automated-lumipulser-g-ptau-217-plasma</w:t>
      </w:r>
    </w:p>
    <w:p w14:paraId="00A76017" w14:textId="77777777" w:rsidR="001D1E25" w:rsidRPr="003B652E" w:rsidRDefault="00000000" w:rsidP="003B652E">
      <w:pPr>
        <w:jc w:val="both"/>
        <w:rPr>
          <w:rFonts w:cs="Arial"/>
          <w:lang w:val="de-DE"/>
        </w:rPr>
      </w:pPr>
      <w:r w:rsidRPr="003B652E">
        <w:rPr>
          <w:rFonts w:cs="Arial"/>
          <w:lang w:val="de-DE"/>
        </w:rPr>
        <w:t xml:space="preserve">Roche Deutschland: Roche erhält CE-Kennzeichnung für neuen Bluttest zum Nachweis der Alzheimer-Pathologie: </w:t>
      </w:r>
      <w:proofErr w:type="spellStart"/>
      <w:r w:rsidRPr="003B652E">
        <w:rPr>
          <w:rFonts w:cs="Arial"/>
          <w:lang w:val="de-DE"/>
        </w:rPr>
        <w:t>Elecsys</w:t>
      </w:r>
      <w:proofErr w:type="spellEnd"/>
      <w:r w:rsidRPr="003B652E">
        <w:rPr>
          <w:rFonts w:cs="Arial"/>
          <w:lang w:val="de-DE"/>
        </w:rPr>
        <w:t xml:space="preserve"> Plasma phosphoryliertes Tau 217 (pTau217). https://www.roche.de/presse/news/roche-erhaelt-ce-kennzeichnung-fuer-neuen-bluttest-zum-nachweis-der-alzheimer-pathologie-elecsys-plasma-phosphoryliertes-tau-217-ptau217-</w:t>
      </w:r>
    </w:p>
    <w:p w14:paraId="301E10C6" w14:textId="77777777" w:rsidR="001D1E25" w:rsidRPr="00E26E58" w:rsidRDefault="00000000" w:rsidP="003B652E">
      <w:pPr>
        <w:jc w:val="both"/>
        <w:rPr>
          <w:rFonts w:cs="Arial"/>
        </w:rPr>
      </w:pPr>
      <w:r w:rsidRPr="00E26E58">
        <w:rPr>
          <w:rFonts w:cs="Arial"/>
        </w:rPr>
        <w:t>Roche: Roche receives CE Mark for minimally invasive blood test to help rule out Alzheimer’s disease (</w:t>
      </w:r>
      <w:proofErr w:type="spellStart"/>
      <w:r w:rsidRPr="00E26E58">
        <w:rPr>
          <w:rFonts w:cs="Arial"/>
        </w:rPr>
        <w:t>Elecsys</w:t>
      </w:r>
      <w:proofErr w:type="spellEnd"/>
      <w:r w:rsidRPr="00E26E58">
        <w:rPr>
          <w:rFonts w:cs="Arial"/>
        </w:rPr>
        <w:t xml:space="preserve"> pTau181), 22.07.2025. https://www.roche.com/media/releases/med-cor-2025-07-23b</w:t>
      </w:r>
    </w:p>
    <w:p w14:paraId="0C763B2C" w14:textId="77777777" w:rsidR="001D1E25" w:rsidRPr="003B652E" w:rsidRDefault="00000000" w:rsidP="003B652E">
      <w:pPr>
        <w:jc w:val="both"/>
        <w:rPr>
          <w:rFonts w:cs="Arial"/>
          <w:lang w:val="de-DE"/>
        </w:rPr>
      </w:pPr>
      <w:r w:rsidRPr="003B652E">
        <w:rPr>
          <w:rFonts w:cs="Arial"/>
          <w:lang w:val="de-DE"/>
        </w:rPr>
        <w:t>DGN / DGPPN: S3-Leitlinie Demenzen, Living Guideline, Version 6.0, Fassung vom 24.02.2026. https://register.awmf.org/de/leitlinien/detail/038-013</w:t>
      </w:r>
    </w:p>
    <w:p w14:paraId="2EC8D1A7" w14:textId="77777777" w:rsidR="001D1E25" w:rsidRPr="003B652E" w:rsidRDefault="00000000" w:rsidP="003B652E">
      <w:pPr>
        <w:jc w:val="both"/>
        <w:rPr>
          <w:rFonts w:cs="Arial"/>
          <w:lang w:val="de-DE"/>
        </w:rPr>
      </w:pPr>
      <w:r w:rsidRPr="003B652E">
        <w:rPr>
          <w:rFonts w:cs="Arial"/>
          <w:lang w:val="de-DE"/>
        </w:rPr>
        <w:t>DGPPN: Demenzen: Aktualisierte S3-Leitlinie mit neuen Empfehlungen zu Biomarkern und Palliativversorgung, 12.03.2025. https://www.dgppn.de/presse/pressemitteilungen/pressemitteilungen-2025/demenzen-aktualisierte-s3-leitlinie.html</w:t>
      </w:r>
    </w:p>
    <w:sectPr w:rsidR="001D1E25" w:rsidRPr="003B652E" w:rsidSect="00034616">
      <w:headerReference w:type="default" r:id="rId8"/>
      <w:pgSz w:w="12240" w:h="15840"/>
      <w:pgMar w:top="124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74970969" w14:textId="77777777" w:rsidR="0018123B" w:rsidRDefault="0018123B" w:rsidP="003B652E">
      <w:pPr>
        <w:spacing w:after="0" w:line="240" w:lineRule="auto"/>
      </w:pPr>
      <w:r>
        <w:separator/>
      </w:r>
    </w:p>
  </w:endnote>
  <w:endnote w:type="continuationSeparator" w:id="0">
    <w:p w14:paraId="7BE4228B" w14:textId="77777777" w:rsidR="0018123B" w:rsidRDefault="0018123B" w:rsidP="003B65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2070309020205020404"/>
    <w:charset w:val="00"/>
    <w:family w:val="modern"/>
    <w:pitch w:val="fixed"/>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1B65F661" w14:textId="77777777" w:rsidR="0018123B" w:rsidRDefault="0018123B" w:rsidP="003B652E">
      <w:pPr>
        <w:spacing w:after="0" w:line="240" w:lineRule="auto"/>
      </w:pPr>
      <w:r>
        <w:separator/>
      </w:r>
    </w:p>
  </w:footnote>
  <w:footnote w:type="continuationSeparator" w:id="0">
    <w:p w14:paraId="546A3B97" w14:textId="77777777" w:rsidR="0018123B" w:rsidRDefault="0018123B" w:rsidP="003B65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10E517F9" w14:textId="40FD5BAD" w:rsidR="003B652E" w:rsidRDefault="003B652E">
    <w:pPr>
      <w:pStyle w:val="Kopfzeile"/>
    </w:pPr>
    <w:r>
      <w:rPr>
        <w:noProof/>
        <w:lang w:val="de-DE" w:eastAsia="de-DE"/>
      </w:rPr>
      <w:drawing>
        <wp:inline distT="0" distB="0" distL="0" distR="0" wp14:anchorId="52B2CBB8" wp14:editId="3DC2BFC4">
          <wp:extent cx="1004535" cy="479778"/>
          <wp:effectExtent l="0" t="0" r="0" b="3175"/>
          <wp:docPr id="190538656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386562" name="Picture 1905386562"/>
                  <pic:cNvPicPr/>
                </pic:nvPicPr>
                <pic:blipFill>
                  <a:blip r:embed="rId1">
                    <a:extLst>
                      <a:ext uri="{28A0092B-C50C-407E-A947-70E740481C1C}">
                        <a14:useLocalDpi xmlns:a14="http://schemas.microsoft.com/office/drawing/2010/main"/>
                      </a:ext>
                    </a:extLst>
                  </a:blip>
                  <a:stretch>
                    <a:fillRect/>
                  </a:stretch>
                </pic:blipFill>
                <pic:spPr>
                  <a:xfrm>
                    <a:off x="0" y="0"/>
                    <a:ext cx="1010548" cy="4826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ennumm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ennumm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Aufzhlungszeichen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Aufzhlungszeichen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ennumm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ufzhlungszeichen"/>
      <w:lvlText w:val=""/>
      <w:lvlJc w:val="left"/>
      <w:pPr>
        <w:tabs>
          <w:tab w:val="num" w:pos="360"/>
        </w:tabs>
        <w:ind w:left="360" w:hanging="360"/>
      </w:pPr>
      <w:rPr>
        <w:rFonts w:ascii="Symbol" w:hAnsi="Symbol" w:hint="default"/>
      </w:rPr>
    </w:lvl>
  </w:abstractNum>
  <w:num w:numId="1" w16cid:durableId="615869555">
    <w:abstractNumId w:val="8"/>
  </w:num>
  <w:num w:numId="2" w16cid:durableId="1163087353">
    <w:abstractNumId w:val="6"/>
  </w:num>
  <w:num w:numId="3" w16cid:durableId="671378151">
    <w:abstractNumId w:val="5"/>
  </w:num>
  <w:num w:numId="4" w16cid:durableId="1349063513">
    <w:abstractNumId w:val="4"/>
  </w:num>
  <w:num w:numId="5" w16cid:durableId="443115558">
    <w:abstractNumId w:val="7"/>
  </w:num>
  <w:num w:numId="6" w16cid:durableId="486436461">
    <w:abstractNumId w:val="3"/>
  </w:num>
  <w:num w:numId="7" w16cid:durableId="839806972">
    <w:abstractNumId w:val="2"/>
  </w:num>
  <w:num w:numId="8" w16cid:durableId="2026401813">
    <w:abstractNumId w:val="1"/>
  </w:num>
  <w:num w:numId="9" w16cid:durableId="2112967529">
    <w:abstractNumId w:val="0"/>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211"/>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11477"/>
    <w:rsid w:val="00034616"/>
    <w:rsid w:val="0006063C"/>
    <w:rsid w:val="000D13C7"/>
    <w:rsid w:val="000E0CA8"/>
    <w:rsid w:val="0015074B"/>
    <w:rsid w:val="0018123B"/>
    <w:rsid w:val="001D1E25"/>
    <w:rsid w:val="00224107"/>
    <w:rsid w:val="00277F30"/>
    <w:rsid w:val="0029639D"/>
    <w:rsid w:val="002F4CC6"/>
    <w:rsid w:val="00326F90"/>
    <w:rsid w:val="00350639"/>
    <w:rsid w:val="003B652E"/>
    <w:rsid w:val="004E21C5"/>
    <w:rsid w:val="006E7BB2"/>
    <w:rsid w:val="006F1E11"/>
    <w:rsid w:val="00700E29"/>
    <w:rsid w:val="00981926"/>
    <w:rsid w:val="00A311BD"/>
    <w:rsid w:val="00A9187E"/>
    <w:rsid w:val="00AA1D8D"/>
    <w:rsid w:val="00B47730"/>
    <w:rsid w:val="00B5132F"/>
    <w:rsid w:val="00BC6AFF"/>
    <w:rsid w:val="00C16844"/>
    <w:rsid w:val="00C8271B"/>
    <w:rsid w:val="00CB0664"/>
    <w:rsid w:val="00E26E58"/>
    <w:rsid w:val="00EC576A"/>
    <w:rsid w:val="00F200D9"/>
    <w:rsid w:val="00FA23E9"/>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6FD3AD"/>
  <w14:defaultImageDpi w14:val="300"/>
  <w15:docId w15:val="{D3E4A0E6-6EF8-134B-9C11-5439C0EA6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C693F"/>
    <w:pPr>
      <w:spacing w:after="120" w:line="259" w:lineRule="auto"/>
    </w:pPr>
    <w:rPr>
      <w:rFonts w:ascii="Arial" w:eastAsia="Arial" w:hAnsi="Arial"/>
      <w:sz w:val="21"/>
    </w:rPr>
  </w:style>
  <w:style w:type="paragraph" w:styleId="berschrift1">
    <w:name w:val="heading 1"/>
    <w:basedOn w:val="Standard"/>
    <w:next w:val="Standard"/>
    <w:link w:val="berschrift1Zchn"/>
    <w:uiPriority w:val="9"/>
    <w:qFormat/>
    <w:rsid w:val="00FC693F"/>
    <w:pPr>
      <w:keepNext/>
      <w:keepLines/>
      <w:spacing w:before="200"/>
      <w:outlineLvl w:val="0"/>
    </w:pPr>
    <w:rPr>
      <w:rFonts w:asciiTheme="majorHAnsi" w:eastAsiaTheme="majorEastAsia" w:hAnsiTheme="majorHAnsi" w:cstheme="majorBidi"/>
      <w:b/>
      <w:bCs/>
      <w:color w:val="365F91" w:themeColor="accent1" w:themeShade="BF"/>
      <w:sz w:val="30"/>
      <w:szCs w:val="28"/>
    </w:rPr>
  </w:style>
  <w:style w:type="paragraph" w:styleId="berschrift2">
    <w:name w:val="heading 2"/>
    <w:basedOn w:val="Standard"/>
    <w:next w:val="Standard"/>
    <w:link w:val="berschrift2Zchn"/>
    <w:uiPriority w:val="9"/>
    <w:unhideWhenUsed/>
    <w:qFormat/>
    <w:rsid w:val="00FC693F"/>
    <w:pPr>
      <w:keepNext/>
      <w:keepLines/>
      <w:spacing w:before="200"/>
      <w:outlineLvl w:val="1"/>
    </w:pPr>
    <w:rPr>
      <w:rFonts w:asciiTheme="majorHAnsi" w:eastAsiaTheme="majorEastAsia" w:hAnsiTheme="majorHAnsi" w:cstheme="majorBidi"/>
      <w:b/>
      <w:bCs/>
      <w:color w:val="4F81BD" w:themeColor="accent1"/>
      <w:sz w:val="24"/>
      <w:szCs w:val="26"/>
    </w:rPr>
  </w:style>
  <w:style w:type="paragraph" w:styleId="berschrift3">
    <w:name w:val="heading 3"/>
    <w:basedOn w:val="Standard"/>
    <w:next w:val="Standard"/>
    <w:link w:val="berschrift3Zchn"/>
    <w:uiPriority w:val="9"/>
    <w:unhideWhenUsed/>
    <w:qFormat/>
    <w:rsid w:val="00FC693F"/>
    <w:pPr>
      <w:keepNext/>
      <w:keepLines/>
      <w:spacing w:before="200"/>
      <w:outlineLvl w:val="2"/>
    </w:pPr>
    <w:rPr>
      <w:rFonts w:asciiTheme="majorHAnsi" w:eastAsiaTheme="majorEastAsia" w:hAnsiTheme="majorHAnsi" w:cstheme="majorBidi"/>
      <w:b/>
      <w:bCs/>
      <w:color w:val="4F81BD" w:themeColor="accent1"/>
      <w:sz w:val="22"/>
    </w:rPr>
  </w:style>
  <w:style w:type="paragraph" w:styleId="berschrift4">
    <w:name w:val="heading 4"/>
    <w:basedOn w:val="Standard"/>
    <w:next w:val="Standard"/>
    <w:link w:val="berschrift4Zchn"/>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berschrift9">
    <w:name w:val="heading 9"/>
    <w:basedOn w:val="Standard"/>
    <w:next w:val="Standard"/>
    <w:link w:val="berschrift9Zchn"/>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618BF"/>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E618BF"/>
  </w:style>
  <w:style w:type="paragraph" w:styleId="Fuzeile">
    <w:name w:val="footer"/>
    <w:basedOn w:val="Standard"/>
    <w:link w:val="FuzeileZchn"/>
    <w:uiPriority w:val="99"/>
    <w:unhideWhenUsed/>
    <w:rsid w:val="00E618BF"/>
    <w:pPr>
      <w:tabs>
        <w:tab w:val="center" w:pos="4680"/>
        <w:tab w:val="right" w:pos="9360"/>
      </w:tabs>
      <w:spacing w:after="0" w:line="240" w:lineRule="auto"/>
    </w:pPr>
  </w:style>
  <w:style w:type="character" w:customStyle="1" w:styleId="FuzeileZchn">
    <w:name w:val="Fußzeile Zchn"/>
    <w:basedOn w:val="Absatz-Standardschriftart"/>
    <w:link w:val="Fuzeile"/>
    <w:uiPriority w:val="99"/>
    <w:rsid w:val="00E618BF"/>
  </w:style>
  <w:style w:type="paragraph" w:styleId="KeinLeerraum">
    <w:name w:val="No Spacing"/>
    <w:uiPriority w:val="1"/>
    <w:qFormat/>
    <w:rsid w:val="00FC693F"/>
    <w:pPr>
      <w:spacing w:after="0" w:line="240" w:lineRule="auto"/>
    </w:pPr>
  </w:style>
  <w:style w:type="character" w:customStyle="1" w:styleId="berschrift1Zchn">
    <w:name w:val="Überschrift 1 Zchn"/>
    <w:basedOn w:val="Absatz-Standardschriftart"/>
    <w:link w:val="berschrift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FC693F"/>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FC693F"/>
    <w:rPr>
      <w:rFonts w:asciiTheme="majorHAnsi" w:eastAsiaTheme="majorEastAsia" w:hAnsiTheme="majorHAnsi" w:cstheme="majorBidi"/>
      <w:b/>
      <w:bCs/>
      <w:color w:val="4F81BD" w:themeColor="accent1"/>
    </w:rPr>
  </w:style>
  <w:style w:type="paragraph" w:styleId="Titel">
    <w:name w:val="Title"/>
    <w:basedOn w:val="Standard"/>
    <w:next w:val="Standard"/>
    <w:link w:val="TitelZchn"/>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Untertitel">
    <w:name w:val="Subtitle"/>
    <w:basedOn w:val="Standard"/>
    <w:next w:val="Standard"/>
    <w:link w:val="UntertitelZchn"/>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FC693F"/>
    <w:rPr>
      <w:rFonts w:asciiTheme="majorHAnsi" w:eastAsiaTheme="majorEastAsia" w:hAnsiTheme="majorHAnsi" w:cstheme="majorBidi"/>
      <w:i/>
      <w:iCs/>
      <w:color w:val="4F81BD" w:themeColor="accent1"/>
      <w:spacing w:val="15"/>
      <w:sz w:val="24"/>
      <w:szCs w:val="24"/>
    </w:rPr>
  </w:style>
  <w:style w:type="paragraph" w:styleId="Listenabsatz">
    <w:name w:val="List Paragraph"/>
    <w:basedOn w:val="Standard"/>
    <w:uiPriority w:val="34"/>
    <w:qFormat/>
    <w:rsid w:val="00FC693F"/>
    <w:pPr>
      <w:ind w:left="720"/>
      <w:contextualSpacing/>
    </w:pPr>
  </w:style>
  <w:style w:type="paragraph" w:styleId="Textkrper">
    <w:name w:val="Body Text"/>
    <w:basedOn w:val="Standard"/>
    <w:link w:val="TextkrperZchn"/>
    <w:uiPriority w:val="99"/>
    <w:unhideWhenUsed/>
    <w:rsid w:val="00AA1D8D"/>
  </w:style>
  <w:style w:type="character" w:customStyle="1" w:styleId="TextkrperZchn">
    <w:name w:val="Textkörper Zchn"/>
    <w:basedOn w:val="Absatz-Standardschriftart"/>
    <w:link w:val="Textkrper"/>
    <w:uiPriority w:val="99"/>
    <w:rsid w:val="00AA1D8D"/>
  </w:style>
  <w:style w:type="paragraph" w:styleId="Textkrper2">
    <w:name w:val="Body Text 2"/>
    <w:basedOn w:val="Standard"/>
    <w:link w:val="Textkrper2Zchn"/>
    <w:uiPriority w:val="99"/>
    <w:unhideWhenUsed/>
    <w:rsid w:val="00AA1D8D"/>
    <w:pPr>
      <w:spacing w:line="480" w:lineRule="auto"/>
    </w:pPr>
  </w:style>
  <w:style w:type="character" w:customStyle="1" w:styleId="Textkrper2Zchn">
    <w:name w:val="Textkörper 2 Zchn"/>
    <w:basedOn w:val="Absatz-Standardschriftart"/>
    <w:link w:val="Textkrper2"/>
    <w:uiPriority w:val="99"/>
    <w:rsid w:val="00AA1D8D"/>
  </w:style>
  <w:style w:type="paragraph" w:styleId="Textkrper3">
    <w:name w:val="Body Text 3"/>
    <w:basedOn w:val="Standard"/>
    <w:link w:val="Textkrper3Zchn"/>
    <w:uiPriority w:val="99"/>
    <w:unhideWhenUsed/>
    <w:rsid w:val="00AA1D8D"/>
    <w:rPr>
      <w:sz w:val="16"/>
      <w:szCs w:val="16"/>
    </w:rPr>
  </w:style>
  <w:style w:type="character" w:customStyle="1" w:styleId="Textkrper3Zchn">
    <w:name w:val="Textkörper 3 Zchn"/>
    <w:basedOn w:val="Absatz-Standardschriftart"/>
    <w:link w:val="Textkrper3"/>
    <w:uiPriority w:val="99"/>
    <w:rsid w:val="00AA1D8D"/>
    <w:rPr>
      <w:sz w:val="16"/>
      <w:szCs w:val="16"/>
    </w:rPr>
  </w:style>
  <w:style w:type="paragraph" w:styleId="Liste">
    <w:name w:val="List"/>
    <w:basedOn w:val="Standard"/>
    <w:uiPriority w:val="99"/>
    <w:unhideWhenUsed/>
    <w:rsid w:val="00AA1D8D"/>
    <w:pPr>
      <w:ind w:left="360" w:hanging="360"/>
      <w:contextualSpacing/>
    </w:pPr>
  </w:style>
  <w:style w:type="paragraph" w:styleId="Liste2">
    <w:name w:val="List 2"/>
    <w:basedOn w:val="Standard"/>
    <w:uiPriority w:val="99"/>
    <w:unhideWhenUsed/>
    <w:rsid w:val="00326F90"/>
    <w:pPr>
      <w:ind w:left="720" w:hanging="360"/>
      <w:contextualSpacing/>
    </w:pPr>
  </w:style>
  <w:style w:type="paragraph" w:styleId="Liste3">
    <w:name w:val="List 3"/>
    <w:basedOn w:val="Standard"/>
    <w:uiPriority w:val="99"/>
    <w:unhideWhenUsed/>
    <w:rsid w:val="00326F90"/>
    <w:pPr>
      <w:ind w:left="1080" w:hanging="360"/>
      <w:contextualSpacing/>
    </w:pPr>
  </w:style>
  <w:style w:type="paragraph" w:styleId="Aufzhlungszeichen">
    <w:name w:val="List Bullet"/>
    <w:basedOn w:val="Standard"/>
    <w:uiPriority w:val="99"/>
    <w:unhideWhenUsed/>
    <w:rsid w:val="00326F90"/>
    <w:pPr>
      <w:numPr>
        <w:numId w:val="1"/>
      </w:numPr>
      <w:contextualSpacing/>
    </w:pPr>
  </w:style>
  <w:style w:type="paragraph" w:styleId="Aufzhlungszeichen2">
    <w:name w:val="List Bullet 2"/>
    <w:basedOn w:val="Standard"/>
    <w:uiPriority w:val="99"/>
    <w:unhideWhenUsed/>
    <w:rsid w:val="00326F90"/>
    <w:pPr>
      <w:numPr>
        <w:numId w:val="2"/>
      </w:numPr>
      <w:contextualSpacing/>
    </w:pPr>
  </w:style>
  <w:style w:type="paragraph" w:styleId="Aufzhlungszeichen3">
    <w:name w:val="List Bullet 3"/>
    <w:basedOn w:val="Standard"/>
    <w:uiPriority w:val="99"/>
    <w:unhideWhenUsed/>
    <w:rsid w:val="00326F90"/>
    <w:pPr>
      <w:numPr>
        <w:numId w:val="3"/>
      </w:numPr>
      <w:contextualSpacing/>
    </w:pPr>
  </w:style>
  <w:style w:type="paragraph" w:styleId="Listennummer">
    <w:name w:val="List Number"/>
    <w:basedOn w:val="Standard"/>
    <w:uiPriority w:val="99"/>
    <w:unhideWhenUsed/>
    <w:rsid w:val="00326F90"/>
    <w:pPr>
      <w:numPr>
        <w:numId w:val="5"/>
      </w:numPr>
      <w:contextualSpacing/>
    </w:pPr>
  </w:style>
  <w:style w:type="paragraph" w:styleId="Listennummer2">
    <w:name w:val="List Number 2"/>
    <w:basedOn w:val="Standard"/>
    <w:uiPriority w:val="99"/>
    <w:unhideWhenUsed/>
    <w:rsid w:val="0029639D"/>
    <w:pPr>
      <w:numPr>
        <w:numId w:val="6"/>
      </w:numPr>
      <w:contextualSpacing/>
    </w:pPr>
  </w:style>
  <w:style w:type="paragraph" w:styleId="Listennummer3">
    <w:name w:val="List Number 3"/>
    <w:basedOn w:val="Standard"/>
    <w:uiPriority w:val="99"/>
    <w:unhideWhenUsed/>
    <w:rsid w:val="0029639D"/>
    <w:pPr>
      <w:numPr>
        <w:numId w:val="7"/>
      </w:numPr>
      <w:contextualSpacing/>
    </w:pPr>
  </w:style>
  <w:style w:type="paragraph" w:styleId="Listenfortsetzung">
    <w:name w:val="List Continue"/>
    <w:basedOn w:val="Standard"/>
    <w:uiPriority w:val="99"/>
    <w:unhideWhenUsed/>
    <w:rsid w:val="0029639D"/>
    <w:pPr>
      <w:ind w:left="360"/>
      <w:contextualSpacing/>
    </w:pPr>
  </w:style>
  <w:style w:type="paragraph" w:styleId="Listenfortsetzung2">
    <w:name w:val="List Continue 2"/>
    <w:basedOn w:val="Standard"/>
    <w:uiPriority w:val="99"/>
    <w:unhideWhenUsed/>
    <w:rsid w:val="0029639D"/>
    <w:pPr>
      <w:ind w:left="720"/>
      <w:contextualSpacing/>
    </w:pPr>
  </w:style>
  <w:style w:type="paragraph" w:styleId="Listenfortsetzung3">
    <w:name w:val="List Continue 3"/>
    <w:basedOn w:val="Standard"/>
    <w:uiPriority w:val="99"/>
    <w:unhideWhenUsed/>
    <w:rsid w:val="0029639D"/>
    <w:pPr>
      <w:ind w:left="1080"/>
      <w:contextualSpacing/>
    </w:pPr>
  </w:style>
  <w:style w:type="paragraph" w:styleId="Makrotext">
    <w:name w:val="macro"/>
    <w:link w:val="MakrotextZchn"/>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krotextZchn">
    <w:name w:val="Makrotext Zchn"/>
    <w:basedOn w:val="Absatz-Standardschriftart"/>
    <w:link w:val="Makrotext"/>
    <w:uiPriority w:val="99"/>
    <w:rsid w:val="0029639D"/>
    <w:rPr>
      <w:rFonts w:ascii="Courier" w:hAnsi="Courier"/>
      <w:sz w:val="20"/>
      <w:szCs w:val="20"/>
    </w:rPr>
  </w:style>
  <w:style w:type="paragraph" w:styleId="Zitat">
    <w:name w:val="Quote"/>
    <w:basedOn w:val="Standard"/>
    <w:next w:val="Standard"/>
    <w:link w:val="ZitatZchn"/>
    <w:uiPriority w:val="29"/>
    <w:qFormat/>
    <w:rsid w:val="00FC693F"/>
    <w:rPr>
      <w:i/>
      <w:iCs/>
      <w:color w:val="000000" w:themeColor="text1"/>
    </w:rPr>
  </w:style>
  <w:style w:type="character" w:customStyle="1" w:styleId="ZitatZchn">
    <w:name w:val="Zitat Zchn"/>
    <w:basedOn w:val="Absatz-Standardschriftart"/>
    <w:link w:val="Zitat"/>
    <w:uiPriority w:val="29"/>
    <w:rsid w:val="00FC693F"/>
    <w:rPr>
      <w:i/>
      <w:iCs/>
      <w:color w:val="000000" w:themeColor="text1"/>
    </w:rPr>
  </w:style>
  <w:style w:type="character" w:customStyle="1" w:styleId="berschrift4Zchn">
    <w:name w:val="Überschrift 4 Zchn"/>
    <w:basedOn w:val="Absatz-Standardschriftart"/>
    <w:link w:val="berschrift4"/>
    <w:uiPriority w:val="9"/>
    <w:semiHidden/>
    <w:rsid w:val="00FC693F"/>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FC693F"/>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FC693F"/>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FC693F"/>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FC693F"/>
    <w:rPr>
      <w:rFonts w:asciiTheme="majorHAnsi" w:eastAsiaTheme="majorEastAsia" w:hAnsiTheme="majorHAnsi" w:cstheme="majorBidi"/>
      <w:color w:val="4F81BD" w:themeColor="accent1"/>
      <w:sz w:val="20"/>
      <w:szCs w:val="20"/>
    </w:rPr>
  </w:style>
  <w:style w:type="character" w:customStyle="1" w:styleId="berschrift9Zchn">
    <w:name w:val="Überschrift 9 Zchn"/>
    <w:basedOn w:val="Absatz-Standardschriftart"/>
    <w:link w:val="berschrift9"/>
    <w:uiPriority w:val="9"/>
    <w:semiHidden/>
    <w:rsid w:val="00FC693F"/>
    <w:rPr>
      <w:rFonts w:asciiTheme="majorHAnsi" w:eastAsiaTheme="majorEastAsia" w:hAnsiTheme="majorHAnsi" w:cstheme="majorBidi"/>
      <w:i/>
      <w:iCs/>
      <w:color w:val="404040" w:themeColor="text1" w:themeTint="BF"/>
      <w:sz w:val="20"/>
      <w:szCs w:val="20"/>
    </w:rPr>
  </w:style>
  <w:style w:type="paragraph" w:styleId="Beschriftung">
    <w:name w:val="caption"/>
    <w:basedOn w:val="Standard"/>
    <w:next w:val="Standard"/>
    <w:uiPriority w:val="35"/>
    <w:semiHidden/>
    <w:unhideWhenUsed/>
    <w:qFormat/>
    <w:rsid w:val="00FC693F"/>
    <w:pPr>
      <w:spacing w:line="240" w:lineRule="auto"/>
    </w:pPr>
    <w:rPr>
      <w:b/>
      <w:bCs/>
      <w:color w:val="4F81BD" w:themeColor="accent1"/>
      <w:sz w:val="18"/>
      <w:szCs w:val="18"/>
    </w:rPr>
  </w:style>
  <w:style w:type="character" w:styleId="Fett">
    <w:name w:val="Strong"/>
    <w:basedOn w:val="Absatz-Standardschriftart"/>
    <w:uiPriority w:val="22"/>
    <w:qFormat/>
    <w:rsid w:val="00FC693F"/>
    <w:rPr>
      <w:b/>
      <w:bCs/>
    </w:rPr>
  </w:style>
  <w:style w:type="character" w:styleId="Hervorhebung">
    <w:name w:val="Emphasis"/>
    <w:basedOn w:val="Absatz-Standardschriftart"/>
    <w:uiPriority w:val="20"/>
    <w:qFormat/>
    <w:rsid w:val="00FC693F"/>
    <w:rPr>
      <w:i/>
      <w:iCs/>
    </w:rPr>
  </w:style>
  <w:style w:type="paragraph" w:styleId="IntensivesZitat">
    <w:name w:val="Intense Quote"/>
    <w:basedOn w:val="Standard"/>
    <w:next w:val="Standard"/>
    <w:link w:val="IntensivesZitatZchn"/>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FC693F"/>
    <w:rPr>
      <w:b/>
      <w:bCs/>
      <w:i/>
      <w:iCs/>
      <w:color w:val="4F81BD" w:themeColor="accent1"/>
    </w:rPr>
  </w:style>
  <w:style w:type="character" w:styleId="SchwacheHervorhebung">
    <w:name w:val="Subtle Emphasis"/>
    <w:basedOn w:val="Absatz-Standardschriftart"/>
    <w:uiPriority w:val="19"/>
    <w:qFormat/>
    <w:rsid w:val="00FC693F"/>
    <w:rPr>
      <w:i/>
      <w:iCs/>
      <w:color w:val="808080" w:themeColor="text1" w:themeTint="7F"/>
    </w:rPr>
  </w:style>
  <w:style w:type="character" w:styleId="IntensiveHervorhebung">
    <w:name w:val="Intense Emphasis"/>
    <w:basedOn w:val="Absatz-Standardschriftart"/>
    <w:uiPriority w:val="21"/>
    <w:qFormat/>
    <w:rsid w:val="00FC693F"/>
    <w:rPr>
      <w:b/>
      <w:bCs/>
      <w:i/>
      <w:iCs/>
      <w:color w:val="4F81BD" w:themeColor="accent1"/>
    </w:rPr>
  </w:style>
  <w:style w:type="character" w:styleId="SchwacherVerweis">
    <w:name w:val="Subtle Reference"/>
    <w:basedOn w:val="Absatz-Standardschriftart"/>
    <w:uiPriority w:val="31"/>
    <w:qFormat/>
    <w:rsid w:val="00FC693F"/>
    <w:rPr>
      <w:smallCaps/>
      <w:color w:val="C0504D" w:themeColor="accent2"/>
      <w:u w:val="single"/>
    </w:rPr>
  </w:style>
  <w:style w:type="character" w:styleId="IntensiverVerweis">
    <w:name w:val="Intense Reference"/>
    <w:basedOn w:val="Absatz-Standardschriftart"/>
    <w:uiPriority w:val="32"/>
    <w:qFormat/>
    <w:rsid w:val="00FC693F"/>
    <w:rPr>
      <w:b/>
      <w:bCs/>
      <w:smallCaps/>
      <w:color w:val="C0504D" w:themeColor="accent2"/>
      <w:spacing w:val="5"/>
      <w:u w:val="single"/>
    </w:rPr>
  </w:style>
  <w:style w:type="character" w:styleId="Buchtitel">
    <w:name w:val="Book Title"/>
    <w:basedOn w:val="Absatz-Standardschriftart"/>
    <w:uiPriority w:val="33"/>
    <w:qFormat/>
    <w:rsid w:val="00FC693F"/>
    <w:rPr>
      <w:b/>
      <w:bCs/>
      <w:smallCaps/>
      <w:spacing w:val="5"/>
    </w:rPr>
  </w:style>
  <w:style w:type="paragraph" w:styleId="Inhaltsverzeichnisberschrift">
    <w:name w:val="TOC Heading"/>
    <w:basedOn w:val="berschrift1"/>
    <w:next w:val="Standard"/>
    <w:uiPriority w:val="39"/>
    <w:semiHidden/>
    <w:unhideWhenUsed/>
    <w:qFormat/>
    <w:rsid w:val="00FC693F"/>
    <w:pPr>
      <w:outlineLvl w:val="9"/>
    </w:pPr>
  </w:style>
  <w:style w:type="table" w:styleId="Tabellenraster">
    <w:name w:val="Table Grid"/>
    <w:basedOn w:val="NormaleTabel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HelleListe">
    <w:name w:val="Light List"/>
    <w:basedOn w:val="NormaleTabel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Raster">
    <w:name w:val="Light Grid"/>
    <w:basedOn w:val="NormaleTabel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Schattierung1">
    <w:name w:val="Medium Shading 1"/>
    <w:basedOn w:val="NormaleTabel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Liste1">
    <w:name w:val="Medium List 1"/>
    <w:basedOn w:val="NormaleTabel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ittlereListe2">
    <w:name w:val="Medium Lis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Raster1">
    <w:name w:val="Medium Grid 1"/>
    <w:basedOn w:val="NormaleTabel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ittleresRaster2">
    <w:name w:val="Medium Grid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unkleListe">
    <w:name w:val="Dark List"/>
    <w:basedOn w:val="NormaleTabel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bigeSchattierung">
    <w:name w:val="Colorful Shading"/>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bigeListe">
    <w:name w:val="Colorful List"/>
    <w:basedOn w:val="NormaleTabel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bigesRaster">
    <w:name w:val="Colorful Grid"/>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berarbeitung">
    <w:name w:val="Revision"/>
    <w:hidden/>
    <w:uiPriority w:val="99"/>
    <w:semiHidden/>
    <w:rsid w:val="00E26E58"/>
    <w:pPr>
      <w:spacing w:after="0" w:line="240" w:lineRule="auto"/>
    </w:pPr>
    <w:rPr>
      <w:rFonts w:ascii="Arial" w:eastAsia="Arial" w:hAnsi="Arial"/>
      <w:sz w:val="21"/>
    </w:rPr>
  </w:style>
  <w:style w:type="character" w:styleId="Kommentarzeichen">
    <w:name w:val="annotation reference"/>
    <w:basedOn w:val="Absatz-Standardschriftart"/>
    <w:uiPriority w:val="99"/>
    <w:semiHidden/>
    <w:unhideWhenUsed/>
    <w:rsid w:val="00224107"/>
    <w:rPr>
      <w:sz w:val="16"/>
      <w:szCs w:val="16"/>
    </w:rPr>
  </w:style>
  <w:style w:type="paragraph" w:styleId="Kommentartext">
    <w:name w:val="annotation text"/>
    <w:basedOn w:val="Standard"/>
    <w:link w:val="KommentartextZchn"/>
    <w:uiPriority w:val="99"/>
    <w:semiHidden/>
    <w:unhideWhenUsed/>
    <w:rsid w:val="0022410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24107"/>
    <w:rPr>
      <w:rFonts w:ascii="Arial" w:eastAsia="Arial" w:hAnsi="Arial"/>
      <w:sz w:val="20"/>
      <w:szCs w:val="20"/>
    </w:rPr>
  </w:style>
  <w:style w:type="paragraph" w:styleId="Kommentarthema">
    <w:name w:val="annotation subject"/>
    <w:basedOn w:val="Kommentartext"/>
    <w:next w:val="Kommentartext"/>
    <w:link w:val="KommentarthemaZchn"/>
    <w:uiPriority w:val="99"/>
    <w:semiHidden/>
    <w:unhideWhenUsed/>
    <w:rsid w:val="00224107"/>
    <w:rPr>
      <w:b/>
      <w:bCs/>
    </w:rPr>
  </w:style>
  <w:style w:type="character" w:customStyle="1" w:styleId="KommentarthemaZchn">
    <w:name w:val="Kommentarthema Zchn"/>
    <w:basedOn w:val="KommentartextZchn"/>
    <w:link w:val="Kommentarthema"/>
    <w:uiPriority w:val="99"/>
    <w:semiHidden/>
    <w:rsid w:val="00224107"/>
    <w:rPr>
      <w:rFonts w:ascii="Arial" w:eastAsia="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1356</Words>
  <Characters>8549</Characters>
  <Application>Microsoft Office Word</Application>
  <DocSecurity>0</DocSecurity>
  <Lines>71</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9886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Perneczky, Robert G</cp:lastModifiedBy>
  <cp:revision>9</cp:revision>
  <dcterms:created xsi:type="dcterms:W3CDTF">2013-12-23T16:15:00Z</dcterms:created>
  <dcterms:modified xsi:type="dcterms:W3CDTF">2026-06-23T13:00:00Z</dcterms:modified>
  <cp:category/>
</cp:coreProperties>
</file>